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B30F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/>
          <w:b/>
          <w:bCs/>
          <w:sz w:val="40"/>
          <w:szCs w:val="48"/>
        </w:rPr>
      </w:pPr>
      <w:r>
        <w:rPr>
          <w:rFonts w:hint="eastAsia"/>
          <w:b/>
          <w:bCs/>
          <w:sz w:val="40"/>
          <w:szCs w:val="48"/>
        </w:rPr>
        <w:t>形体课程教材选用说明</w:t>
      </w:r>
    </w:p>
    <w:p w14:paraId="56F5DCFC">
      <w:pPr>
        <w:ind w:firstLine="560" w:firstLineChars="200"/>
        <w:jc w:val="left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为规范形体课程教学，落实美育育人目标，提升学生体态素养与综合气质，本课程选用《形体训练（第2版）》作为授课教材，该教材由尹菲主编、航空工业出版社出版。</w:t>
      </w:r>
    </w:p>
    <w:p w14:paraId="0EEE7CBC">
      <w:pPr>
        <w:ind w:firstLine="560" w:firstLineChars="200"/>
        <w:jc w:val="left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本教材为职业院校美育精品教材，贴合职教改革与课程思政教学理念，配套微课数字化教学资源，适配现代化课堂教学模式。教材内容架构科学，涵盖形体基础理论、体态规范训练、不良体态矫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36"/>
        </w:rPr>
        <w:t>正、形体素质提升、综合塑形训练等核心内容，知识点由浅入深、层层递进，完全贴合形体课程的教学大纲与授课内容。</w:t>
      </w:r>
    </w:p>
    <w:p w14:paraId="2A9A3E86">
      <w:pPr>
        <w:ind w:firstLine="560" w:firstLineChars="200"/>
        <w:jc w:val="left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教材立足学生学情，摒弃复杂晦涩的理论知识，采用模块化、任务化的编写形式，搭配清晰的动作图示与规范的训练步骤，实操性极强，既适合课堂理实一体化教学，也便于学生课后自主练习。同时，教材在形体技能训练的基础上，融入礼仪素养、审美品格等美育内容，兼顾学生体态塑造与素养培育，契合本课程塑形、修礼、养心的核心教学目标。</w:t>
      </w:r>
    </w:p>
    <w:p w14:paraId="3C53DD9F">
      <w:pPr>
        <w:ind w:firstLine="560" w:firstLineChars="200"/>
        <w:jc w:val="left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该教材内容规范、针对性强、适配度高，符合形体课程教学及人才培养需求，能够有效保障课程教学质量，助力学生矫正不良体态、提升个人气质与职业形象，因此确定为本课程专用授课教材。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8DB7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2026-09-17T02:35:19Z</dcterms:created>
  <dc:creator>z'z</dc:creator>
  <cp:lastModifiedBy>张文扬</cp:lastModifiedBy>
  <dcterms:modified xsi:type="dcterms:W3CDTF">2026-09-17T02:36:37Z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eyJoZGlkIjoiYmI4YzU5ZDc5YjUwY2M3MGY0ZTE5YWMzOWJmMGYwMTMiLCJ1c2VySWQiOiIyMTAwODY1MDgifQ==</vt:lpwstr>
  </property>
  <property fmtid="{D5CDD505-2E9C-101B-9397-08002B2CF9AE}" pid="4" name="ICV">
    <vt:lpwstr>73E6764E994F4913A3112FF633F5AC42_12</vt:lpwstr>
  </property>
</Properties>
</file>