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5FF55">
      <w:pPr>
        <w:snapToGrid w:val="0"/>
        <w:spacing w:after="312" w:afterLines="100" w:line="500" w:lineRule="exact"/>
        <w:jc w:val="center"/>
        <w:rPr>
          <w:rFonts w:hint="eastAsia" w:ascii="黑体" w:hAnsi="黑体" w:eastAsia="黑体"/>
          <w:sz w:val="36"/>
          <w:szCs w:val="36"/>
        </w:rPr>
      </w:pPr>
      <w:bookmarkStart w:id="0" w:name="OLE_LINK3"/>
    </w:p>
    <w:p w14:paraId="62010DF5">
      <w:pPr>
        <w:snapToGrid w:val="0"/>
        <w:spacing w:after="312" w:afterLines="100" w:line="500" w:lineRule="exact"/>
        <w:jc w:val="center"/>
        <w:rPr>
          <w:rFonts w:hint="eastAsia" w:ascii="黑体" w:hAnsi="黑体" w:eastAsia="黑体"/>
          <w:sz w:val="36"/>
          <w:szCs w:val="36"/>
        </w:rPr>
      </w:pPr>
    </w:p>
    <w:p w14:paraId="5D81650A">
      <w:pPr>
        <w:jc w:val="center"/>
        <w:rPr>
          <w:sz w:val="36"/>
        </w:rPr>
      </w:pPr>
      <w:r>
        <w:rPr>
          <w:sz w:val="36"/>
        </w:rPr>
        <w:drawing>
          <wp:inline distT="0" distB="0" distL="0" distR="0">
            <wp:extent cx="3838575" cy="82042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3898979" cy="833496"/>
                    </a:xfrm>
                    <a:prstGeom prst="rect">
                      <a:avLst/>
                    </a:prstGeom>
                    <a:noFill/>
                  </pic:spPr>
                </pic:pic>
              </a:graphicData>
            </a:graphic>
          </wp:inline>
        </w:drawing>
      </w:r>
    </w:p>
    <w:p w14:paraId="480E2632">
      <w:pPr>
        <w:jc w:val="center"/>
        <w:rPr>
          <w:rFonts w:hint="eastAsia" w:ascii="华文细黑" w:hAnsi="华文细黑" w:eastAsia="华文细黑" w:cs="华文细黑"/>
          <w:b/>
          <w:bCs/>
          <w:sz w:val="52"/>
          <w:szCs w:val="72"/>
        </w:rPr>
      </w:pPr>
    </w:p>
    <w:p w14:paraId="61DC25C7">
      <w:pPr>
        <w:spacing w:after="312" w:afterLines="100"/>
        <w:jc w:val="center"/>
        <w:rPr>
          <w:rFonts w:hint="eastAsia" w:ascii="微软雅黑" w:hAnsi="微软雅黑" w:eastAsia="微软雅黑" w:cs="微软雅黑"/>
          <w:b/>
          <w:bCs/>
          <w:sz w:val="52"/>
          <w:szCs w:val="72"/>
        </w:rPr>
      </w:pPr>
      <w:r>
        <w:rPr>
          <w:rFonts w:hint="eastAsia" w:ascii="微软雅黑" w:hAnsi="微软雅黑" w:eastAsia="微软雅黑" w:cs="微软雅黑"/>
          <w:b/>
          <w:bCs/>
          <w:sz w:val="52"/>
          <w:szCs w:val="72"/>
        </w:rPr>
        <w:t>202</w:t>
      </w:r>
      <w:r>
        <w:rPr>
          <w:rFonts w:hint="eastAsia" w:ascii="微软雅黑" w:hAnsi="微软雅黑" w:eastAsia="微软雅黑" w:cs="微软雅黑"/>
          <w:b/>
          <w:bCs/>
          <w:sz w:val="52"/>
          <w:szCs w:val="72"/>
          <w:lang w:val="en-US" w:eastAsia="zh-CN"/>
        </w:rPr>
        <w:t>5</w:t>
      </w:r>
      <w:r>
        <w:rPr>
          <w:rFonts w:hint="eastAsia" w:ascii="微软雅黑" w:hAnsi="微软雅黑" w:eastAsia="微软雅黑" w:cs="微软雅黑"/>
          <w:b/>
          <w:bCs/>
          <w:sz w:val="52"/>
          <w:szCs w:val="72"/>
        </w:rPr>
        <w:t>级空中乘务专业（群）人才</w:t>
      </w:r>
    </w:p>
    <w:p w14:paraId="55A2266C">
      <w:pPr>
        <w:spacing w:after="312" w:afterLines="100"/>
        <w:jc w:val="center"/>
        <w:rPr>
          <w:rFonts w:hint="eastAsia" w:ascii="微软雅黑" w:hAnsi="微软雅黑" w:eastAsia="微软雅黑" w:cs="微软雅黑"/>
          <w:b/>
          <w:bCs/>
          <w:sz w:val="52"/>
          <w:szCs w:val="72"/>
        </w:rPr>
      </w:pPr>
      <w:r>
        <w:rPr>
          <w:rFonts w:hint="eastAsia" w:ascii="微软雅黑" w:hAnsi="微软雅黑" w:eastAsia="微软雅黑" w:cs="微软雅黑"/>
          <w:b/>
          <w:bCs/>
          <w:sz w:val="52"/>
          <w:szCs w:val="72"/>
        </w:rPr>
        <w:t>培养方案</w:t>
      </w:r>
    </w:p>
    <w:p w14:paraId="48A8E2FD">
      <w:pPr>
        <w:snapToGrid w:val="0"/>
        <w:spacing w:line="500" w:lineRule="exact"/>
        <w:jc w:val="center"/>
        <w:rPr>
          <w:rFonts w:hint="eastAsia" w:ascii="黑体" w:hAnsi="黑体" w:eastAsia="黑体"/>
          <w:sz w:val="36"/>
          <w:szCs w:val="36"/>
        </w:rPr>
      </w:pPr>
    </w:p>
    <w:p w14:paraId="1218D104">
      <w:pPr>
        <w:snapToGrid w:val="0"/>
        <w:spacing w:line="500" w:lineRule="exact"/>
        <w:rPr>
          <w:rFonts w:hint="eastAsia" w:ascii="黑体" w:hAnsi="黑体" w:eastAsia="黑体"/>
          <w:sz w:val="36"/>
          <w:szCs w:val="36"/>
        </w:rPr>
      </w:pPr>
    </w:p>
    <w:tbl>
      <w:tblPr>
        <w:tblStyle w:val="9"/>
        <w:tblW w:w="7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5"/>
        <w:gridCol w:w="4176"/>
      </w:tblGrid>
      <w:tr w14:paraId="327A4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865" w:type="dxa"/>
            <w:tcBorders>
              <w:tl2br w:val="nil"/>
              <w:tr2bl w:val="nil"/>
            </w:tcBorders>
            <w:vAlign w:val="center"/>
          </w:tcPr>
          <w:p w14:paraId="5D173668">
            <w:pPr>
              <w:spacing w:line="360" w:lineRule="auto"/>
              <w:jc w:val="center"/>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二级学院</w:t>
            </w:r>
          </w:p>
        </w:tc>
        <w:tc>
          <w:tcPr>
            <w:tcW w:w="4176" w:type="dxa"/>
            <w:tcBorders>
              <w:tl2br w:val="nil"/>
              <w:tr2bl w:val="nil"/>
            </w:tcBorders>
            <w:vAlign w:val="center"/>
          </w:tcPr>
          <w:p w14:paraId="5E8F1736">
            <w:pPr>
              <w:snapToGrid w:val="0"/>
              <w:spacing w:line="500" w:lineRule="exact"/>
              <w:jc w:val="center"/>
              <w:rPr>
                <w:rFonts w:hint="eastAsia" w:ascii="黑体" w:hAnsi="黑体" w:eastAsia="黑体"/>
                <w:sz w:val="36"/>
                <w:szCs w:val="36"/>
              </w:rPr>
            </w:pPr>
            <w:r>
              <w:rPr>
                <w:rFonts w:hint="eastAsia" w:ascii="黑体" w:hAnsi="黑体" w:eastAsia="黑体"/>
                <w:sz w:val="36"/>
                <w:szCs w:val="36"/>
              </w:rPr>
              <w:t xml:space="preserve">航空服务学院 </w:t>
            </w:r>
          </w:p>
        </w:tc>
      </w:tr>
      <w:tr w14:paraId="1D651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865" w:type="dxa"/>
            <w:tcBorders>
              <w:tl2br w:val="nil"/>
              <w:tr2bl w:val="nil"/>
            </w:tcBorders>
            <w:vAlign w:val="center"/>
          </w:tcPr>
          <w:p w14:paraId="190A93B9">
            <w:pPr>
              <w:spacing w:line="360" w:lineRule="auto"/>
              <w:jc w:val="center"/>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执笔人</w:t>
            </w:r>
          </w:p>
        </w:tc>
        <w:tc>
          <w:tcPr>
            <w:tcW w:w="4176" w:type="dxa"/>
            <w:tcBorders>
              <w:tl2br w:val="nil"/>
              <w:tr2bl w:val="nil"/>
            </w:tcBorders>
            <w:vAlign w:val="center"/>
          </w:tcPr>
          <w:p w14:paraId="45D1D1A9">
            <w:pPr>
              <w:snapToGrid w:val="0"/>
              <w:spacing w:line="500" w:lineRule="exact"/>
              <w:jc w:val="center"/>
              <w:rPr>
                <w:rFonts w:hint="eastAsia" w:ascii="黑体" w:hAnsi="黑体" w:eastAsia="黑体"/>
                <w:sz w:val="36"/>
                <w:szCs w:val="36"/>
              </w:rPr>
            </w:pPr>
            <w:r>
              <w:rPr>
                <w:rFonts w:hint="eastAsia" w:ascii="黑体" w:hAnsi="黑体" w:eastAsia="黑体"/>
                <w:sz w:val="36"/>
                <w:szCs w:val="36"/>
              </w:rPr>
              <w:t xml:space="preserve"> 张文扬</w:t>
            </w:r>
          </w:p>
        </w:tc>
      </w:tr>
      <w:tr w14:paraId="0F36D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865" w:type="dxa"/>
            <w:tcBorders>
              <w:tl2br w:val="nil"/>
              <w:tr2bl w:val="nil"/>
            </w:tcBorders>
            <w:vAlign w:val="center"/>
          </w:tcPr>
          <w:p w14:paraId="49FFC93A">
            <w:pPr>
              <w:spacing w:line="360" w:lineRule="auto"/>
              <w:jc w:val="center"/>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审核人</w:t>
            </w:r>
          </w:p>
        </w:tc>
        <w:tc>
          <w:tcPr>
            <w:tcW w:w="4176" w:type="dxa"/>
            <w:tcBorders>
              <w:tl2br w:val="nil"/>
              <w:tr2bl w:val="nil"/>
            </w:tcBorders>
            <w:vAlign w:val="center"/>
          </w:tcPr>
          <w:p w14:paraId="74D7A08A">
            <w:pPr>
              <w:snapToGrid w:val="0"/>
              <w:spacing w:line="500" w:lineRule="exact"/>
              <w:jc w:val="center"/>
              <w:rPr>
                <w:rFonts w:hint="eastAsia" w:ascii="黑体" w:hAnsi="黑体" w:eastAsia="黑体"/>
                <w:sz w:val="36"/>
                <w:szCs w:val="36"/>
              </w:rPr>
            </w:pPr>
            <w:r>
              <w:rPr>
                <w:rFonts w:hint="eastAsia" w:ascii="黑体" w:hAnsi="黑体" w:eastAsia="黑体"/>
                <w:sz w:val="36"/>
                <w:szCs w:val="36"/>
              </w:rPr>
              <w:t xml:space="preserve"> 仝泽柳</w:t>
            </w:r>
          </w:p>
        </w:tc>
      </w:tr>
      <w:tr w14:paraId="48524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865" w:type="dxa"/>
            <w:tcBorders>
              <w:tl2br w:val="nil"/>
              <w:tr2bl w:val="nil"/>
            </w:tcBorders>
            <w:vAlign w:val="center"/>
          </w:tcPr>
          <w:p w14:paraId="453A638B">
            <w:pPr>
              <w:spacing w:line="360" w:lineRule="auto"/>
              <w:jc w:val="center"/>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制定日期</w:t>
            </w:r>
          </w:p>
        </w:tc>
        <w:tc>
          <w:tcPr>
            <w:tcW w:w="4176" w:type="dxa"/>
            <w:tcBorders>
              <w:tl2br w:val="nil"/>
              <w:tr2bl w:val="nil"/>
            </w:tcBorders>
            <w:vAlign w:val="center"/>
          </w:tcPr>
          <w:p w14:paraId="6C09A02A">
            <w:pPr>
              <w:snapToGrid w:val="0"/>
              <w:spacing w:line="500" w:lineRule="exact"/>
              <w:jc w:val="center"/>
              <w:rPr>
                <w:rFonts w:hint="eastAsia" w:ascii="黑体" w:hAnsi="黑体" w:eastAsia="黑体"/>
                <w:sz w:val="36"/>
                <w:szCs w:val="36"/>
                <w:lang w:eastAsia="zh-CN"/>
              </w:rPr>
            </w:pPr>
            <w:r>
              <w:rPr>
                <w:rFonts w:hint="eastAsia" w:ascii="黑体" w:hAnsi="黑体" w:eastAsia="黑体"/>
                <w:sz w:val="36"/>
                <w:szCs w:val="36"/>
              </w:rPr>
              <w:t>202</w:t>
            </w:r>
            <w:r>
              <w:rPr>
                <w:rFonts w:hint="eastAsia" w:ascii="黑体" w:hAnsi="黑体" w:eastAsia="黑体"/>
                <w:sz w:val="36"/>
                <w:szCs w:val="36"/>
                <w:lang w:val="en-US" w:eastAsia="zh-CN"/>
              </w:rPr>
              <w:t>5</w:t>
            </w:r>
            <w:r>
              <w:rPr>
                <w:rFonts w:hint="eastAsia" w:ascii="黑体" w:hAnsi="黑体" w:eastAsia="黑体"/>
                <w:sz w:val="36"/>
                <w:szCs w:val="36"/>
              </w:rPr>
              <w:t>.</w:t>
            </w:r>
            <w:r>
              <w:rPr>
                <w:rFonts w:hint="eastAsia" w:ascii="黑体" w:hAnsi="黑体" w:eastAsia="黑体"/>
                <w:sz w:val="36"/>
                <w:szCs w:val="36"/>
                <w:lang w:val="en-US" w:eastAsia="zh-CN"/>
              </w:rPr>
              <w:t>8</w:t>
            </w:r>
          </w:p>
        </w:tc>
      </w:tr>
      <w:bookmarkEnd w:id="0"/>
    </w:tbl>
    <w:p w14:paraId="18A75105">
      <w:pPr>
        <w:spacing w:line="500" w:lineRule="exact"/>
        <w:ind w:firstLine="680" w:firstLineChars="189"/>
        <w:rPr>
          <w:rFonts w:hint="eastAsia" w:hAnsi="黑体" w:eastAsia="黑体"/>
          <w:sz w:val="36"/>
          <w:szCs w:val="36"/>
        </w:rPr>
      </w:pPr>
    </w:p>
    <w:p w14:paraId="65DBE828">
      <w:pPr>
        <w:rPr>
          <w:rFonts w:hint="eastAsia" w:ascii="微软雅黑" w:hAnsi="微软雅黑" w:eastAsia="微软雅黑" w:cs="微软雅黑"/>
          <w:bCs/>
          <w:szCs w:val="32"/>
        </w:rPr>
      </w:pPr>
    </w:p>
    <w:p w14:paraId="40664157">
      <w:pPr>
        <w:jc w:val="center"/>
        <w:rPr>
          <w:rFonts w:hint="eastAsia" w:ascii="微软雅黑" w:hAnsi="微软雅黑" w:eastAsia="微软雅黑" w:cs="微软雅黑"/>
          <w:bCs/>
          <w:szCs w:val="32"/>
        </w:rPr>
      </w:pPr>
      <w:r>
        <w:rPr>
          <w:rFonts w:hint="eastAsia" w:ascii="微软雅黑" w:hAnsi="微软雅黑" w:eastAsia="微软雅黑" w:cs="微软雅黑"/>
          <w:bCs/>
          <w:szCs w:val="32"/>
        </w:rPr>
        <w:t>建东职业技术学院教务处 制</w:t>
      </w:r>
    </w:p>
    <w:p w14:paraId="2DE57548">
      <w:pPr>
        <w:tabs>
          <w:tab w:val="left" w:pos="450"/>
          <w:tab w:val="center" w:pos="4156"/>
        </w:tabs>
        <w:jc w:val="left"/>
        <w:rPr>
          <w:rFonts w:hint="eastAsia" w:ascii="微软雅黑" w:hAnsi="微软雅黑" w:eastAsia="微软雅黑" w:cs="微软雅黑"/>
          <w:bCs/>
          <w:szCs w:val="32"/>
        </w:rPr>
      </w:pPr>
      <w:r>
        <w:rPr>
          <w:rFonts w:ascii="微软雅黑" w:hAnsi="微软雅黑" w:eastAsia="微软雅黑" w:cs="微软雅黑"/>
          <w:bCs/>
          <w:szCs w:val="32"/>
        </w:rPr>
        <w:tab/>
      </w:r>
      <w:r>
        <w:rPr>
          <w:rFonts w:ascii="微软雅黑" w:hAnsi="微软雅黑" w:eastAsia="微软雅黑" w:cs="微软雅黑"/>
          <w:bCs/>
          <w:szCs w:val="32"/>
        </w:rPr>
        <w:tab/>
      </w:r>
      <w:r>
        <w:rPr>
          <w:rFonts w:hint="eastAsia" w:ascii="微软雅黑" w:hAnsi="微软雅黑" w:eastAsia="微软雅黑" w:cs="微软雅黑"/>
          <w:bCs/>
          <w:szCs w:val="32"/>
        </w:rPr>
        <w:t>202</w:t>
      </w:r>
      <w:r>
        <w:rPr>
          <w:rFonts w:hint="eastAsia" w:ascii="微软雅黑" w:hAnsi="微软雅黑" w:eastAsia="微软雅黑" w:cs="微软雅黑"/>
          <w:bCs/>
          <w:szCs w:val="32"/>
          <w:lang w:val="en-US" w:eastAsia="zh-CN"/>
        </w:rPr>
        <w:t>5</w:t>
      </w:r>
      <w:r>
        <w:rPr>
          <w:rFonts w:hint="eastAsia" w:ascii="微软雅黑" w:hAnsi="微软雅黑" w:eastAsia="微软雅黑" w:cs="微软雅黑"/>
          <w:bCs/>
          <w:szCs w:val="32"/>
        </w:rPr>
        <w:t>年</w:t>
      </w:r>
      <w:r>
        <w:rPr>
          <w:rFonts w:hint="eastAsia" w:ascii="微软雅黑" w:hAnsi="微软雅黑" w:eastAsia="微软雅黑" w:cs="微软雅黑"/>
          <w:bCs/>
          <w:szCs w:val="32"/>
          <w:lang w:val="en-US" w:eastAsia="zh-CN"/>
        </w:rPr>
        <w:t>8</w:t>
      </w:r>
      <w:r>
        <w:rPr>
          <w:rFonts w:hint="eastAsia" w:ascii="微软雅黑" w:hAnsi="微软雅黑" w:eastAsia="微软雅黑" w:cs="微软雅黑"/>
          <w:bCs/>
          <w:szCs w:val="32"/>
        </w:rPr>
        <w:t>月 修订</w:t>
      </w:r>
    </w:p>
    <w:p w14:paraId="56D11A5B">
      <w:pPr>
        <w:tabs>
          <w:tab w:val="left" w:pos="450"/>
          <w:tab w:val="center" w:pos="4156"/>
        </w:tabs>
        <w:jc w:val="left"/>
        <w:rPr>
          <w:rFonts w:hint="eastAsia" w:ascii="微软雅黑" w:hAnsi="微软雅黑" w:eastAsia="微软雅黑" w:cs="微软雅黑"/>
          <w:bCs/>
          <w:szCs w:val="32"/>
        </w:rPr>
      </w:pPr>
    </w:p>
    <w:p w14:paraId="2EECEEAD">
      <w:pPr>
        <w:pStyle w:val="6"/>
        <w:tabs>
          <w:tab w:val="right" w:leader="dot" w:pos="8306"/>
        </w:tabs>
        <w:jc w:val="center"/>
        <w:rPr>
          <w:rFonts w:hint="eastAsia" w:ascii="黑体" w:hAnsi="黑体" w:eastAsia="黑体" w:cs="黑体"/>
          <w:sz w:val="44"/>
          <w:szCs w:val="44"/>
        </w:rPr>
      </w:pPr>
      <w:r>
        <w:rPr>
          <w:rFonts w:hint="eastAsia" w:ascii="黑体" w:hAnsi="黑体" w:eastAsia="黑体" w:cs="黑体"/>
          <w:sz w:val="44"/>
          <w:szCs w:val="44"/>
        </w:rPr>
        <w:t>目录</w:t>
      </w:r>
    </w:p>
    <w:p w14:paraId="528D1F9D">
      <w:pPr>
        <w:pStyle w:val="6"/>
        <w:tabs>
          <w:tab w:val="right" w:leader="dot" w:pos="8306"/>
        </w:tabs>
      </w:pPr>
      <w:r>
        <w:rPr>
          <w:rFonts w:hint="eastAsia" w:ascii="黑体" w:hAnsi="黑体" w:eastAsia="黑体" w:cs="黑体"/>
          <w:szCs w:val="32"/>
        </w:rPr>
        <w:fldChar w:fldCharType="begin"/>
      </w:r>
      <w:r>
        <w:rPr>
          <w:rFonts w:hint="eastAsia" w:ascii="黑体" w:hAnsi="黑体" w:eastAsia="黑体" w:cs="黑体"/>
          <w:szCs w:val="32"/>
        </w:rPr>
        <w:instrText xml:space="preserve">TOC \o "1-1" \h \u </w:instrText>
      </w:r>
      <w:r>
        <w:rPr>
          <w:rFonts w:hint="eastAsia" w:ascii="黑体" w:hAnsi="黑体" w:eastAsia="黑体" w:cs="黑体"/>
          <w:szCs w:val="32"/>
        </w:rPr>
        <w:fldChar w:fldCharType="separate"/>
      </w:r>
      <w:r>
        <w:fldChar w:fldCharType="begin"/>
      </w:r>
      <w:r>
        <w:instrText xml:space="preserve"> HYPERLINK \l "_Toc221" </w:instrText>
      </w:r>
      <w:r>
        <w:fldChar w:fldCharType="separate"/>
      </w:r>
      <w:r>
        <w:rPr>
          <w:rFonts w:hint="eastAsia" w:ascii="黑体" w:hAnsi="黑体" w:eastAsia="黑体" w:cs="黑体"/>
          <w:szCs w:val="32"/>
        </w:rPr>
        <w:t>一、 专业名称及代码</w:t>
      </w:r>
      <w:r>
        <w:tab/>
      </w:r>
      <w:r>
        <w:fldChar w:fldCharType="begin"/>
      </w:r>
      <w:r>
        <w:instrText xml:space="preserve"> PAGEREF _Toc221 \h </w:instrText>
      </w:r>
      <w:r>
        <w:fldChar w:fldCharType="separate"/>
      </w:r>
      <w:r>
        <w:t>3</w:t>
      </w:r>
      <w:r>
        <w:fldChar w:fldCharType="end"/>
      </w:r>
      <w:r>
        <w:fldChar w:fldCharType="end"/>
      </w:r>
    </w:p>
    <w:p w14:paraId="0B02AFCB">
      <w:pPr>
        <w:pStyle w:val="6"/>
        <w:tabs>
          <w:tab w:val="right" w:leader="dot" w:pos="8306"/>
        </w:tabs>
      </w:pPr>
      <w:r>
        <w:fldChar w:fldCharType="begin"/>
      </w:r>
      <w:r>
        <w:instrText xml:space="preserve"> HYPERLINK \l "_Toc11420" </w:instrText>
      </w:r>
      <w:r>
        <w:fldChar w:fldCharType="separate"/>
      </w:r>
      <w:r>
        <w:rPr>
          <w:rFonts w:hint="eastAsia" w:ascii="黑体" w:hAnsi="黑体" w:eastAsia="黑体" w:cs="黑体"/>
          <w:szCs w:val="32"/>
        </w:rPr>
        <w:t>二、 入学要求</w:t>
      </w:r>
      <w:r>
        <w:tab/>
      </w:r>
      <w:r>
        <w:fldChar w:fldCharType="begin"/>
      </w:r>
      <w:r>
        <w:instrText xml:space="preserve"> PAGEREF _Toc11420 \h </w:instrText>
      </w:r>
      <w:r>
        <w:fldChar w:fldCharType="separate"/>
      </w:r>
      <w:r>
        <w:t>3</w:t>
      </w:r>
      <w:r>
        <w:fldChar w:fldCharType="end"/>
      </w:r>
      <w:r>
        <w:fldChar w:fldCharType="end"/>
      </w:r>
    </w:p>
    <w:p w14:paraId="011EA57D">
      <w:pPr>
        <w:pStyle w:val="6"/>
        <w:tabs>
          <w:tab w:val="right" w:leader="dot" w:pos="8306"/>
        </w:tabs>
      </w:pPr>
      <w:r>
        <w:fldChar w:fldCharType="begin"/>
      </w:r>
      <w:r>
        <w:instrText xml:space="preserve"> HYPERLINK \l "_Toc27340" </w:instrText>
      </w:r>
      <w:r>
        <w:fldChar w:fldCharType="separate"/>
      </w:r>
      <w:r>
        <w:rPr>
          <w:rFonts w:hint="eastAsia" w:ascii="黑体" w:hAnsi="黑体" w:eastAsia="黑体" w:cs="黑体"/>
          <w:szCs w:val="32"/>
        </w:rPr>
        <w:t>三、 修业年限</w:t>
      </w:r>
      <w:r>
        <w:tab/>
      </w:r>
      <w:r>
        <w:fldChar w:fldCharType="begin"/>
      </w:r>
      <w:r>
        <w:instrText xml:space="preserve"> PAGEREF _Toc27340 \h </w:instrText>
      </w:r>
      <w:r>
        <w:fldChar w:fldCharType="separate"/>
      </w:r>
      <w:r>
        <w:t>3</w:t>
      </w:r>
      <w:r>
        <w:fldChar w:fldCharType="end"/>
      </w:r>
      <w:r>
        <w:fldChar w:fldCharType="end"/>
      </w:r>
    </w:p>
    <w:p w14:paraId="0FBF5C5E">
      <w:pPr>
        <w:pStyle w:val="6"/>
        <w:tabs>
          <w:tab w:val="right" w:leader="dot" w:pos="8306"/>
        </w:tabs>
      </w:pPr>
      <w:r>
        <w:fldChar w:fldCharType="begin"/>
      </w:r>
      <w:r>
        <w:instrText xml:space="preserve"> HYPERLINK \l "_Toc6502" </w:instrText>
      </w:r>
      <w:r>
        <w:fldChar w:fldCharType="separate"/>
      </w:r>
      <w:r>
        <w:rPr>
          <w:rFonts w:hint="eastAsia" w:ascii="黑体" w:hAnsi="黑体" w:eastAsia="黑体" w:cs="黑体"/>
          <w:szCs w:val="32"/>
        </w:rPr>
        <w:t>四、 职业面向</w:t>
      </w:r>
      <w:r>
        <w:tab/>
      </w:r>
      <w:r>
        <w:fldChar w:fldCharType="begin"/>
      </w:r>
      <w:r>
        <w:instrText xml:space="preserve"> PAGEREF _Toc6502 \h </w:instrText>
      </w:r>
      <w:r>
        <w:fldChar w:fldCharType="separate"/>
      </w:r>
      <w:r>
        <w:t>3</w:t>
      </w:r>
      <w:r>
        <w:fldChar w:fldCharType="end"/>
      </w:r>
      <w:r>
        <w:fldChar w:fldCharType="end"/>
      </w:r>
    </w:p>
    <w:p w14:paraId="3B473F37">
      <w:pPr>
        <w:pStyle w:val="6"/>
        <w:tabs>
          <w:tab w:val="right" w:leader="dot" w:pos="8306"/>
        </w:tabs>
      </w:pPr>
      <w:r>
        <w:fldChar w:fldCharType="begin"/>
      </w:r>
      <w:r>
        <w:instrText xml:space="preserve"> HYPERLINK \l "_Toc2505" </w:instrText>
      </w:r>
      <w:r>
        <w:fldChar w:fldCharType="separate"/>
      </w:r>
      <w:r>
        <w:rPr>
          <w:rFonts w:hint="eastAsia" w:ascii="黑体" w:hAnsi="黑体" w:eastAsia="黑体" w:cs="黑体"/>
          <w:szCs w:val="32"/>
        </w:rPr>
        <w:t>五、 培养目标与培养规格</w:t>
      </w:r>
      <w:r>
        <w:tab/>
      </w:r>
      <w:r>
        <w:fldChar w:fldCharType="begin"/>
      </w:r>
      <w:r>
        <w:instrText xml:space="preserve"> PAGEREF _Toc2505 \h </w:instrText>
      </w:r>
      <w:r>
        <w:fldChar w:fldCharType="separate"/>
      </w:r>
      <w:r>
        <w:t>3</w:t>
      </w:r>
      <w:r>
        <w:fldChar w:fldCharType="end"/>
      </w:r>
      <w:r>
        <w:fldChar w:fldCharType="end"/>
      </w:r>
    </w:p>
    <w:p w14:paraId="375107BF">
      <w:pPr>
        <w:pStyle w:val="6"/>
        <w:tabs>
          <w:tab w:val="right" w:leader="dot" w:pos="8306"/>
        </w:tabs>
      </w:pPr>
      <w:r>
        <w:fldChar w:fldCharType="begin"/>
      </w:r>
      <w:r>
        <w:instrText xml:space="preserve"> HYPERLINK \l "_Toc23803" </w:instrText>
      </w:r>
      <w:r>
        <w:fldChar w:fldCharType="separate"/>
      </w:r>
      <w:r>
        <w:rPr>
          <w:rFonts w:hint="eastAsia" w:ascii="黑体" w:hAnsi="黑体" w:eastAsia="黑体" w:cs="黑体"/>
          <w:szCs w:val="32"/>
        </w:rPr>
        <w:t>六、 课程设置及要求</w:t>
      </w:r>
      <w:r>
        <w:tab/>
      </w:r>
      <w:r>
        <w:fldChar w:fldCharType="begin"/>
      </w:r>
      <w:r>
        <w:instrText xml:space="preserve"> PAGEREF _Toc23803 \h </w:instrText>
      </w:r>
      <w:r>
        <w:fldChar w:fldCharType="separate"/>
      </w:r>
      <w:r>
        <w:t>4</w:t>
      </w:r>
      <w:r>
        <w:fldChar w:fldCharType="end"/>
      </w:r>
      <w:r>
        <w:fldChar w:fldCharType="end"/>
      </w:r>
    </w:p>
    <w:p w14:paraId="3AA2F59E">
      <w:pPr>
        <w:pStyle w:val="6"/>
        <w:tabs>
          <w:tab w:val="right" w:leader="dot" w:pos="8306"/>
        </w:tabs>
      </w:pPr>
      <w:r>
        <w:fldChar w:fldCharType="begin"/>
      </w:r>
      <w:r>
        <w:instrText xml:space="preserve"> HYPERLINK \l "_Toc27524" </w:instrText>
      </w:r>
      <w:r>
        <w:fldChar w:fldCharType="separate"/>
      </w:r>
      <w:r>
        <w:rPr>
          <w:rFonts w:hint="eastAsia" w:ascii="黑体" w:hAnsi="黑体" w:eastAsia="黑体" w:cs="黑体"/>
          <w:szCs w:val="32"/>
        </w:rPr>
        <w:t>七、 教学进程总体安排</w:t>
      </w:r>
      <w:r>
        <w:tab/>
      </w:r>
      <w:r>
        <w:fldChar w:fldCharType="begin"/>
      </w:r>
      <w:r>
        <w:instrText xml:space="preserve"> PAGEREF _Toc27524 \h </w:instrText>
      </w:r>
      <w:r>
        <w:fldChar w:fldCharType="separate"/>
      </w:r>
      <w:r>
        <w:t>9</w:t>
      </w:r>
      <w:r>
        <w:fldChar w:fldCharType="end"/>
      </w:r>
      <w:r>
        <w:fldChar w:fldCharType="end"/>
      </w:r>
    </w:p>
    <w:p w14:paraId="18B56FF7">
      <w:pPr>
        <w:pStyle w:val="6"/>
        <w:tabs>
          <w:tab w:val="right" w:leader="dot" w:pos="8306"/>
        </w:tabs>
      </w:pPr>
      <w:r>
        <w:fldChar w:fldCharType="begin"/>
      </w:r>
      <w:r>
        <w:instrText xml:space="preserve"> HYPERLINK \l "_Toc2048" </w:instrText>
      </w:r>
      <w:r>
        <w:fldChar w:fldCharType="separate"/>
      </w:r>
      <w:r>
        <w:rPr>
          <w:rFonts w:hint="eastAsia" w:ascii="黑体" w:hAnsi="黑体" w:eastAsia="黑体" w:cs="黑体"/>
          <w:szCs w:val="32"/>
        </w:rPr>
        <w:t>八、 实施保障</w:t>
      </w:r>
      <w:r>
        <w:tab/>
      </w:r>
      <w:r>
        <w:fldChar w:fldCharType="begin"/>
      </w:r>
      <w:r>
        <w:instrText xml:space="preserve"> PAGEREF _Toc2048 \h </w:instrText>
      </w:r>
      <w:r>
        <w:fldChar w:fldCharType="separate"/>
      </w:r>
      <w:r>
        <w:t>10</w:t>
      </w:r>
      <w:r>
        <w:fldChar w:fldCharType="end"/>
      </w:r>
      <w:r>
        <w:fldChar w:fldCharType="end"/>
      </w:r>
    </w:p>
    <w:p w14:paraId="039507BD">
      <w:pPr>
        <w:pStyle w:val="6"/>
        <w:tabs>
          <w:tab w:val="right" w:leader="dot" w:pos="8306"/>
        </w:tabs>
      </w:pPr>
      <w:r>
        <w:fldChar w:fldCharType="begin"/>
      </w:r>
      <w:r>
        <w:instrText xml:space="preserve"> HYPERLINK \l "_Toc30965" </w:instrText>
      </w:r>
      <w:r>
        <w:fldChar w:fldCharType="separate"/>
      </w:r>
      <w:r>
        <w:rPr>
          <w:rFonts w:hint="eastAsia" w:ascii="黑体" w:hAnsi="黑体" w:eastAsia="黑体" w:cs="黑体"/>
          <w:szCs w:val="32"/>
        </w:rPr>
        <w:t>九、 毕业要求</w:t>
      </w:r>
      <w:r>
        <w:tab/>
      </w:r>
      <w:r>
        <w:fldChar w:fldCharType="begin"/>
      </w:r>
      <w:r>
        <w:instrText xml:space="preserve"> PAGEREF _Toc30965 \h </w:instrText>
      </w:r>
      <w:r>
        <w:fldChar w:fldCharType="separate"/>
      </w:r>
      <w:r>
        <w:t>10</w:t>
      </w:r>
      <w:r>
        <w:fldChar w:fldCharType="end"/>
      </w:r>
      <w:r>
        <w:fldChar w:fldCharType="end"/>
      </w:r>
    </w:p>
    <w:p w14:paraId="07568933">
      <w:pPr>
        <w:pStyle w:val="6"/>
        <w:tabs>
          <w:tab w:val="right" w:leader="dot" w:pos="8306"/>
        </w:tabs>
      </w:pPr>
      <w:r>
        <w:fldChar w:fldCharType="begin"/>
      </w:r>
      <w:r>
        <w:instrText xml:space="preserve"> HYPERLINK \l "_Toc14028" </w:instrText>
      </w:r>
      <w:r>
        <w:fldChar w:fldCharType="separate"/>
      </w:r>
      <w:r>
        <w:rPr>
          <w:rFonts w:hint="eastAsia" w:ascii="黑体" w:hAnsi="黑体" w:eastAsia="黑体" w:cs="黑体"/>
          <w:szCs w:val="32"/>
        </w:rPr>
        <w:t>十、 附录</w:t>
      </w:r>
      <w:r>
        <w:tab/>
      </w:r>
      <w:r>
        <w:fldChar w:fldCharType="begin"/>
      </w:r>
      <w:r>
        <w:instrText xml:space="preserve"> PAGEREF _Toc14028 \h </w:instrText>
      </w:r>
      <w:r>
        <w:fldChar w:fldCharType="separate"/>
      </w:r>
      <w:r>
        <w:t>13</w:t>
      </w:r>
      <w:r>
        <w:fldChar w:fldCharType="end"/>
      </w:r>
      <w:r>
        <w:fldChar w:fldCharType="end"/>
      </w:r>
    </w:p>
    <w:p w14:paraId="1DDA0B19">
      <w:pPr>
        <w:overflowPunct w:val="0"/>
        <w:adjustRightInd w:val="0"/>
        <w:ind w:left="420"/>
        <w:outlineLvl w:val="0"/>
        <w:rPr>
          <w:rFonts w:hint="eastAsia" w:ascii="黑体" w:hAnsi="黑体" w:eastAsia="黑体" w:cs="黑体"/>
          <w:szCs w:val="32"/>
        </w:rPr>
      </w:pPr>
      <w:r>
        <w:rPr>
          <w:rFonts w:hint="eastAsia" w:ascii="黑体" w:hAnsi="黑体" w:eastAsia="黑体" w:cs="黑体"/>
          <w:szCs w:val="32"/>
        </w:rPr>
        <w:fldChar w:fldCharType="end"/>
      </w:r>
    </w:p>
    <w:p w14:paraId="50E87FF1">
      <w:pPr>
        <w:rPr>
          <w:rFonts w:hint="eastAsia" w:ascii="黑体" w:hAnsi="黑体" w:eastAsia="黑体" w:cs="黑体"/>
          <w:szCs w:val="32"/>
        </w:rPr>
      </w:pPr>
      <w:r>
        <w:rPr>
          <w:rFonts w:hint="eastAsia" w:ascii="黑体" w:hAnsi="黑体" w:eastAsia="黑体" w:cs="黑体"/>
          <w:szCs w:val="32"/>
        </w:rPr>
        <w:br w:type="page"/>
      </w:r>
    </w:p>
    <w:p w14:paraId="028133CB">
      <w:pPr>
        <w:numPr>
          <w:ilvl w:val="0"/>
          <w:numId w:val="1"/>
        </w:numPr>
        <w:overflowPunct w:val="0"/>
        <w:adjustRightInd w:val="0"/>
        <w:outlineLvl w:val="0"/>
        <w:rPr>
          <w:rFonts w:hint="eastAsia" w:ascii="黑体" w:hAnsi="黑体" w:eastAsia="黑体" w:cs="黑体"/>
          <w:szCs w:val="32"/>
        </w:rPr>
      </w:pPr>
      <w:bookmarkStart w:id="1" w:name="_Toc221"/>
      <w:r>
        <w:rPr>
          <w:rFonts w:hint="eastAsia" w:ascii="黑体" w:hAnsi="黑体" w:eastAsia="黑体" w:cs="黑体"/>
          <w:szCs w:val="32"/>
        </w:rPr>
        <w:t>专业名称及代码</w:t>
      </w:r>
      <w:bookmarkEnd w:id="1"/>
    </w:p>
    <w:p w14:paraId="31ACB429">
      <w:pPr>
        <w:spacing w:line="520" w:lineRule="exact"/>
        <w:ind w:left="640"/>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空中乘务（500405）、民航空中安全保卫（500407）</w:t>
      </w:r>
    </w:p>
    <w:p w14:paraId="49885254">
      <w:pPr>
        <w:numPr>
          <w:ilvl w:val="0"/>
          <w:numId w:val="1"/>
        </w:numPr>
        <w:overflowPunct w:val="0"/>
        <w:adjustRightInd w:val="0"/>
        <w:outlineLvl w:val="0"/>
        <w:rPr>
          <w:rFonts w:hint="eastAsia" w:ascii="黑体" w:hAnsi="黑体" w:eastAsia="黑体" w:cs="黑体"/>
          <w:szCs w:val="32"/>
        </w:rPr>
      </w:pPr>
      <w:bookmarkStart w:id="2" w:name="_Toc11420"/>
      <w:r>
        <w:rPr>
          <w:rFonts w:hint="eastAsia" w:ascii="黑体" w:hAnsi="黑体" w:eastAsia="黑体" w:cs="黑体"/>
          <w:szCs w:val="32"/>
        </w:rPr>
        <w:t>入学要求</w:t>
      </w:r>
      <w:bookmarkEnd w:id="2"/>
    </w:p>
    <w:p w14:paraId="0DCB2B4C">
      <w:pPr>
        <w:spacing w:line="520" w:lineRule="exact"/>
        <w:ind w:left="640"/>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普通高级中学毕业、中等职业学校毕业或具备同等学力者。</w:t>
      </w:r>
    </w:p>
    <w:p w14:paraId="4648C0BA">
      <w:pPr>
        <w:numPr>
          <w:ilvl w:val="0"/>
          <w:numId w:val="1"/>
        </w:numPr>
        <w:overflowPunct w:val="0"/>
        <w:adjustRightInd w:val="0"/>
        <w:outlineLvl w:val="0"/>
        <w:rPr>
          <w:rFonts w:hint="eastAsia" w:ascii="黑体" w:hAnsi="黑体" w:eastAsia="黑体" w:cs="黑体"/>
          <w:szCs w:val="32"/>
        </w:rPr>
      </w:pPr>
      <w:bookmarkStart w:id="3" w:name="_Toc27340"/>
      <w:r>
        <w:rPr>
          <w:rFonts w:hint="eastAsia" w:ascii="黑体" w:hAnsi="黑体" w:eastAsia="黑体" w:cs="黑体"/>
          <w:szCs w:val="32"/>
        </w:rPr>
        <w:t>修业年限</w:t>
      </w:r>
      <w:bookmarkEnd w:id="3"/>
    </w:p>
    <w:p w14:paraId="7016694C">
      <w:pPr>
        <w:spacing w:line="520" w:lineRule="exact"/>
        <w:ind w:left="640"/>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3年</w:t>
      </w:r>
    </w:p>
    <w:p w14:paraId="26D27EA0">
      <w:pPr>
        <w:numPr>
          <w:ilvl w:val="0"/>
          <w:numId w:val="1"/>
        </w:numPr>
        <w:overflowPunct w:val="0"/>
        <w:adjustRightInd w:val="0"/>
        <w:outlineLvl w:val="0"/>
        <w:rPr>
          <w:rFonts w:hint="eastAsia" w:ascii="黑体" w:hAnsi="黑体" w:eastAsia="黑体" w:cs="黑体"/>
          <w:szCs w:val="32"/>
        </w:rPr>
      </w:pPr>
      <w:bookmarkStart w:id="4" w:name="_Toc6502"/>
      <w:r>
        <w:rPr>
          <w:rFonts w:hint="eastAsia" w:ascii="黑体" w:hAnsi="黑体" w:eastAsia="黑体" w:cs="黑体"/>
          <w:szCs w:val="32"/>
        </w:rPr>
        <w:t>职业面向</w:t>
      </w:r>
      <w:bookmarkEnd w:id="4"/>
    </w:p>
    <w:p w14:paraId="745076E5">
      <w:pPr>
        <w:spacing w:line="500" w:lineRule="exact"/>
        <w:jc w:val="center"/>
        <w:rPr>
          <w:rFonts w:hint="eastAsia" w:ascii="宋体" w:hAnsi="宋体" w:eastAsia="宋体" w:cs="宋体"/>
          <w:b/>
          <w:bCs/>
          <w:sz w:val="18"/>
          <w:szCs w:val="18"/>
        </w:rPr>
      </w:pPr>
      <w:r>
        <w:rPr>
          <w:rFonts w:hint="eastAsia" w:ascii="宋体" w:hAnsi="宋体" w:eastAsia="宋体" w:cs="宋体"/>
          <w:b/>
          <w:bCs/>
          <w:sz w:val="24"/>
        </w:rPr>
        <w:t>表1主要岗位群（或技术领域）</w:t>
      </w:r>
    </w:p>
    <w:tbl>
      <w:tblPr>
        <w:tblStyle w:val="8"/>
        <w:tblW w:w="85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2"/>
        <w:gridCol w:w="1114"/>
        <w:gridCol w:w="1575"/>
        <w:gridCol w:w="1935"/>
        <w:gridCol w:w="1710"/>
        <w:gridCol w:w="1322"/>
      </w:tblGrid>
      <w:tr w14:paraId="72D86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shd w:val="clear" w:color="auto" w:fill="D7D7D7" w:themeFill="background1" w:themeFillShade="D8"/>
            <w:vAlign w:val="center"/>
          </w:tcPr>
          <w:p w14:paraId="4DEE26ED">
            <w:pPr>
              <w:jc w:val="center"/>
              <w:rPr>
                <w:rFonts w:hint="eastAsia" w:ascii="宋体" w:hAnsi="宋体" w:eastAsia="宋体" w:cs="宋体"/>
                <w:b/>
                <w:sz w:val="21"/>
                <w:szCs w:val="21"/>
              </w:rPr>
            </w:pPr>
            <w:r>
              <w:rPr>
                <w:rFonts w:hint="eastAsia" w:ascii="宋体" w:hAnsi="宋体" w:eastAsia="宋体" w:cs="宋体"/>
                <w:b/>
                <w:sz w:val="21"/>
                <w:szCs w:val="21"/>
              </w:rPr>
              <w:t>所属专业大类（代码）</w:t>
            </w:r>
          </w:p>
        </w:tc>
        <w:tc>
          <w:tcPr>
            <w:tcW w:w="1114" w:type="dxa"/>
            <w:shd w:val="clear" w:color="auto" w:fill="D7D7D7" w:themeFill="background1" w:themeFillShade="D8"/>
            <w:vAlign w:val="center"/>
          </w:tcPr>
          <w:p w14:paraId="44583621">
            <w:pPr>
              <w:jc w:val="center"/>
              <w:rPr>
                <w:rFonts w:hint="eastAsia" w:ascii="宋体" w:hAnsi="宋体" w:eastAsia="宋体" w:cs="宋体"/>
                <w:b/>
                <w:sz w:val="21"/>
                <w:szCs w:val="21"/>
              </w:rPr>
            </w:pPr>
            <w:r>
              <w:rPr>
                <w:rFonts w:hint="eastAsia" w:ascii="宋体" w:hAnsi="宋体" w:eastAsia="宋体" w:cs="宋体"/>
                <w:b/>
                <w:sz w:val="21"/>
                <w:szCs w:val="21"/>
              </w:rPr>
              <w:t>所属专业类（代码）</w:t>
            </w:r>
          </w:p>
        </w:tc>
        <w:tc>
          <w:tcPr>
            <w:tcW w:w="1575" w:type="dxa"/>
            <w:shd w:val="clear" w:color="auto" w:fill="D7D7D7" w:themeFill="background1" w:themeFillShade="D8"/>
            <w:vAlign w:val="center"/>
          </w:tcPr>
          <w:p w14:paraId="07215646">
            <w:pPr>
              <w:jc w:val="center"/>
              <w:rPr>
                <w:rFonts w:hint="eastAsia" w:ascii="宋体" w:hAnsi="宋体" w:eastAsia="宋体" w:cs="宋体"/>
                <w:b/>
                <w:sz w:val="21"/>
                <w:szCs w:val="21"/>
              </w:rPr>
            </w:pPr>
            <w:r>
              <w:rPr>
                <w:rFonts w:hint="eastAsia" w:ascii="宋体" w:hAnsi="宋体" w:eastAsia="宋体" w:cs="宋体"/>
                <w:b/>
                <w:sz w:val="21"/>
                <w:szCs w:val="21"/>
              </w:rPr>
              <w:t>对应行业（代码）</w:t>
            </w:r>
          </w:p>
        </w:tc>
        <w:tc>
          <w:tcPr>
            <w:tcW w:w="1935" w:type="dxa"/>
            <w:shd w:val="clear" w:color="auto" w:fill="D7D7D7" w:themeFill="background1" w:themeFillShade="D8"/>
            <w:vAlign w:val="center"/>
          </w:tcPr>
          <w:p w14:paraId="24F77D72">
            <w:pPr>
              <w:jc w:val="center"/>
              <w:rPr>
                <w:rFonts w:hint="eastAsia" w:ascii="宋体" w:hAnsi="宋体" w:eastAsia="宋体" w:cs="宋体"/>
                <w:b/>
                <w:sz w:val="21"/>
                <w:szCs w:val="21"/>
              </w:rPr>
            </w:pPr>
            <w:r>
              <w:rPr>
                <w:rFonts w:hint="eastAsia" w:ascii="宋体" w:hAnsi="宋体" w:eastAsia="宋体" w:cs="宋体"/>
                <w:b/>
                <w:sz w:val="21"/>
                <w:szCs w:val="21"/>
              </w:rPr>
              <w:t>主要职业类别</w:t>
            </w:r>
          </w:p>
          <w:p w14:paraId="459432DD">
            <w:pPr>
              <w:jc w:val="center"/>
              <w:rPr>
                <w:rFonts w:hint="eastAsia" w:ascii="宋体" w:hAnsi="宋体" w:eastAsia="宋体" w:cs="宋体"/>
                <w:b/>
                <w:sz w:val="21"/>
                <w:szCs w:val="21"/>
              </w:rPr>
            </w:pPr>
            <w:r>
              <w:rPr>
                <w:rFonts w:hint="eastAsia" w:ascii="宋体" w:hAnsi="宋体" w:eastAsia="宋体" w:cs="宋体"/>
                <w:b/>
                <w:sz w:val="21"/>
                <w:szCs w:val="21"/>
              </w:rPr>
              <w:t>（代码）</w:t>
            </w:r>
          </w:p>
        </w:tc>
        <w:tc>
          <w:tcPr>
            <w:tcW w:w="1710" w:type="dxa"/>
            <w:shd w:val="clear" w:color="auto" w:fill="D7D7D7" w:themeFill="background1" w:themeFillShade="D8"/>
            <w:vAlign w:val="center"/>
          </w:tcPr>
          <w:p w14:paraId="617027D1">
            <w:pPr>
              <w:jc w:val="center"/>
              <w:rPr>
                <w:rFonts w:hint="eastAsia" w:ascii="宋体" w:hAnsi="宋体" w:eastAsia="宋体" w:cs="宋体"/>
                <w:b/>
                <w:sz w:val="21"/>
                <w:szCs w:val="21"/>
              </w:rPr>
            </w:pPr>
            <w:r>
              <w:rPr>
                <w:rFonts w:hint="eastAsia" w:ascii="宋体" w:hAnsi="宋体" w:eastAsia="宋体" w:cs="宋体"/>
                <w:b/>
                <w:sz w:val="21"/>
                <w:szCs w:val="21"/>
              </w:rPr>
              <w:t>主要岗位群（或技术领域）举例</w:t>
            </w:r>
          </w:p>
        </w:tc>
        <w:tc>
          <w:tcPr>
            <w:tcW w:w="1322" w:type="dxa"/>
            <w:shd w:val="clear" w:color="auto" w:fill="D7D7D7" w:themeFill="background1" w:themeFillShade="D8"/>
            <w:vAlign w:val="center"/>
          </w:tcPr>
          <w:p w14:paraId="26B46D78">
            <w:pPr>
              <w:jc w:val="center"/>
              <w:rPr>
                <w:rFonts w:hint="eastAsia" w:ascii="宋体" w:hAnsi="宋体" w:eastAsia="宋体" w:cs="宋体"/>
                <w:b/>
                <w:sz w:val="21"/>
                <w:szCs w:val="21"/>
              </w:rPr>
            </w:pPr>
            <w:r>
              <w:rPr>
                <w:rFonts w:hint="eastAsia" w:ascii="宋体" w:hAnsi="宋体" w:eastAsia="宋体" w:cs="宋体"/>
                <w:b/>
                <w:sz w:val="21"/>
                <w:szCs w:val="21"/>
              </w:rPr>
              <w:t>职业资格或职业技能等级证书举例</w:t>
            </w:r>
          </w:p>
        </w:tc>
      </w:tr>
      <w:tr w14:paraId="070D5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2" w:hRule="atLeast"/>
        </w:trPr>
        <w:tc>
          <w:tcPr>
            <w:tcW w:w="882" w:type="dxa"/>
          </w:tcPr>
          <w:p w14:paraId="730EB5A2">
            <w:pPr>
              <w:rPr>
                <w:rFonts w:hint="eastAsia" w:ascii="宋体" w:hAnsi="宋体" w:eastAsia="宋体" w:cs="宋体"/>
                <w:sz w:val="18"/>
                <w:szCs w:val="18"/>
                <w:highlight w:val="yellow"/>
              </w:rPr>
            </w:pPr>
            <w:r>
              <w:rPr>
                <w:rFonts w:hint="eastAsia" w:ascii="方正仿宋_GB2312" w:hAnsi="方正仿宋_GB2312" w:eastAsia="方正仿宋_GB2312" w:cs="方正仿宋_GB2312"/>
                <w:sz w:val="21"/>
                <w:szCs w:val="21"/>
              </w:rPr>
              <w:t>交通运输大类（50）</w:t>
            </w:r>
          </w:p>
        </w:tc>
        <w:tc>
          <w:tcPr>
            <w:tcW w:w="1114" w:type="dxa"/>
          </w:tcPr>
          <w:p w14:paraId="165AFADF">
            <w:pP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空中乘务（500405）</w:t>
            </w:r>
          </w:p>
          <w:p w14:paraId="3B56E998">
            <w:pPr>
              <w:rPr>
                <w:rFonts w:hint="eastAsia" w:ascii="宋体" w:hAnsi="宋体" w:eastAsia="宋体" w:cs="宋体"/>
                <w:sz w:val="18"/>
                <w:szCs w:val="18"/>
                <w:highlight w:val="yellow"/>
              </w:rPr>
            </w:pPr>
            <w:r>
              <w:rPr>
                <w:rFonts w:hint="eastAsia" w:ascii="方正仿宋_GB2312" w:hAnsi="方正仿宋_GB2312" w:eastAsia="方正仿宋_GB2312" w:cs="方正仿宋_GB2312"/>
                <w:sz w:val="21"/>
                <w:szCs w:val="21"/>
              </w:rPr>
              <w:t>民航空中安全保卫（500407</w:t>
            </w:r>
            <w:r>
              <w:rPr>
                <w:rFonts w:hint="eastAsia" w:ascii="宋体" w:hAnsi="宋体" w:eastAsia="宋体" w:cs="宋体"/>
                <w:sz w:val="18"/>
                <w:szCs w:val="18"/>
              </w:rPr>
              <w:t>）</w:t>
            </w:r>
          </w:p>
        </w:tc>
        <w:tc>
          <w:tcPr>
            <w:tcW w:w="1575" w:type="dxa"/>
          </w:tcPr>
          <w:p w14:paraId="104C48FC">
            <w:pP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航空运输业（55）</w:t>
            </w:r>
          </w:p>
        </w:tc>
        <w:tc>
          <w:tcPr>
            <w:tcW w:w="1935" w:type="dxa"/>
          </w:tcPr>
          <w:p w14:paraId="59989A13">
            <w:pPr>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民航乘务员（4-02-04-01）</w:t>
            </w:r>
          </w:p>
          <w:p w14:paraId="4E5BC363">
            <w:pPr>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民航地面服务员（4-02-04-02）</w:t>
            </w:r>
          </w:p>
          <w:p w14:paraId="316389CD">
            <w:pPr>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民航客运售票员（4-02-05-02）</w:t>
            </w:r>
          </w:p>
          <w:p w14:paraId="52AA5955">
            <w:pPr>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民航运输代理员</w:t>
            </w:r>
          </w:p>
          <w:p w14:paraId="6C32063D">
            <w:pPr>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（4-02-05-03）</w:t>
            </w:r>
          </w:p>
        </w:tc>
        <w:tc>
          <w:tcPr>
            <w:tcW w:w="1710" w:type="dxa"/>
          </w:tcPr>
          <w:p w14:paraId="562655BC">
            <w:pP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民航乘务员</w:t>
            </w:r>
          </w:p>
          <w:p w14:paraId="17B3E5A4">
            <w:pP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民航安全员</w:t>
            </w:r>
          </w:p>
          <w:p w14:paraId="6B7D7DF9">
            <w:pP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机场地面服务</w:t>
            </w:r>
          </w:p>
          <w:p w14:paraId="4856988A">
            <w:pP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机场客票员</w:t>
            </w:r>
          </w:p>
          <w:p w14:paraId="3D26D34E">
            <w:pP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机场商务代办</w:t>
            </w:r>
          </w:p>
        </w:tc>
        <w:tc>
          <w:tcPr>
            <w:tcW w:w="1322" w:type="dxa"/>
          </w:tcPr>
          <w:p w14:paraId="158523C4">
            <w:pP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红十字救护员证（初级）</w:t>
            </w:r>
          </w:p>
          <w:p w14:paraId="2FB9D42C">
            <w:pPr>
              <w:rPr>
                <w:rFonts w:hint="eastAsia" w:ascii="方正仿宋_GB2312" w:hAnsi="方正仿宋_GB2312" w:eastAsia="方正仿宋_GB2312" w:cs="方正仿宋_GB2312"/>
                <w:sz w:val="21"/>
                <w:szCs w:val="21"/>
              </w:rPr>
            </w:pPr>
          </w:p>
        </w:tc>
      </w:tr>
    </w:tbl>
    <w:p w14:paraId="25ED4530">
      <w:pPr>
        <w:numPr>
          <w:ilvl w:val="0"/>
          <w:numId w:val="1"/>
        </w:numPr>
        <w:overflowPunct w:val="0"/>
        <w:adjustRightInd w:val="0"/>
        <w:outlineLvl w:val="0"/>
        <w:rPr>
          <w:rFonts w:hint="eastAsia" w:ascii="黑体" w:hAnsi="黑体" w:eastAsia="黑体" w:cs="黑体"/>
          <w:szCs w:val="32"/>
        </w:rPr>
      </w:pPr>
      <w:bookmarkStart w:id="5" w:name="_Toc2505"/>
      <w:r>
        <w:rPr>
          <w:rFonts w:hint="eastAsia" w:ascii="黑体" w:hAnsi="黑体" w:eastAsia="黑体" w:cs="黑体"/>
          <w:szCs w:val="32"/>
        </w:rPr>
        <w:t>培养目标与培养规格</w:t>
      </w:r>
      <w:bookmarkEnd w:id="5"/>
    </w:p>
    <w:p w14:paraId="1A83F863">
      <w:pPr>
        <w:numPr>
          <w:ilvl w:val="0"/>
          <w:numId w:val="2"/>
        </w:numPr>
        <w:overflowPunct w:val="0"/>
        <w:adjustRightInd w:val="0"/>
        <w:outlineLvl w:val="1"/>
        <w:rPr>
          <w:rFonts w:hint="eastAsia" w:ascii="楷体" w:hAnsi="楷体" w:eastAsia="楷体" w:cs="楷体"/>
          <w:b/>
          <w:szCs w:val="32"/>
        </w:rPr>
      </w:pPr>
      <w:r>
        <w:rPr>
          <w:rFonts w:hint="eastAsia" w:ascii="楷体" w:hAnsi="楷体" w:eastAsia="楷体" w:cs="楷体"/>
          <w:b/>
          <w:szCs w:val="32"/>
        </w:rPr>
        <w:t>培养目标</w:t>
      </w:r>
    </w:p>
    <w:p w14:paraId="53DCBF69">
      <w:pPr>
        <w:spacing w:before="156" w:beforeLines="50" w:line="500" w:lineRule="exact"/>
        <w:ind w:firstLine="560" w:firstLineChars="200"/>
        <w:rPr>
          <w:rFonts w:ascii="仿宋_GB2312" w:eastAsia="仿宋_GB2312"/>
          <w:sz w:val="28"/>
          <w:szCs w:val="28"/>
        </w:rPr>
      </w:pPr>
      <w:r>
        <w:rPr>
          <w:rFonts w:hint="eastAsia" w:ascii="仿宋_GB2312" w:eastAsia="仿宋_GB2312"/>
          <w:sz w:val="28"/>
          <w:szCs w:val="28"/>
        </w:rPr>
        <w:t xml:space="preserve"> </w:t>
      </w:r>
      <w:r>
        <w:rPr>
          <w:rFonts w:ascii="仿宋_GB2312" w:hAnsi="仿宋_GB2312" w:eastAsia="仿宋_GB2312" w:cs="仿宋_GB2312"/>
          <w:sz w:val="28"/>
          <w:szCs w:val="28"/>
        </w:rPr>
        <w:t>本专业培养理想信念坚定，德、智、体、美、劳全面发展，具有一定的科学文化水平，良好的人文素养、职业道德和创新意识，精益求精的工匠精神，较强的就业能力和可持续发展的能力，</w:t>
      </w:r>
      <w:r>
        <w:rPr>
          <w:rFonts w:hint="eastAsia" w:ascii="仿宋_GB2312" w:hAnsi="宋体" w:eastAsia="仿宋_GB2312"/>
          <w:sz w:val="28"/>
          <w:szCs w:val="28"/>
        </w:rPr>
        <w:t>适应空中乘务、民航机票销售、旅客运输、货物运输、安全检查、空中安全保卫、宾馆服务等一线需要，具有良好的职业道德和敬业精神，具备民航职业服务能力，主要从事以乘务员为主、民航售票员、客运员、货运员、安检员、酒店服务员工作为辅的，德、智、体等全面发展的高素质技能型人才。</w:t>
      </w:r>
    </w:p>
    <w:p w14:paraId="56A809FE">
      <w:pPr>
        <w:numPr>
          <w:ilvl w:val="0"/>
          <w:numId w:val="2"/>
        </w:numPr>
        <w:overflowPunct w:val="0"/>
        <w:adjustRightInd w:val="0"/>
        <w:outlineLvl w:val="1"/>
        <w:rPr>
          <w:rFonts w:hint="eastAsia" w:ascii="楷体" w:hAnsi="楷体" w:eastAsia="楷体" w:cs="楷体"/>
          <w:b/>
          <w:szCs w:val="32"/>
        </w:rPr>
      </w:pPr>
      <w:r>
        <w:rPr>
          <w:rFonts w:hint="eastAsia" w:ascii="楷体" w:hAnsi="楷体" w:eastAsia="楷体" w:cs="楷体"/>
          <w:b/>
          <w:szCs w:val="32"/>
        </w:rPr>
        <w:t>培养规格</w:t>
      </w:r>
    </w:p>
    <w:p w14:paraId="07942FDE">
      <w:pPr>
        <w:numPr>
          <w:ilvl w:val="0"/>
          <w:numId w:val="3"/>
        </w:numPr>
        <w:spacing w:line="500" w:lineRule="atLeast"/>
        <w:ind w:firstLine="562" w:firstLineChars="200"/>
        <w:jc w:val="left"/>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素质目标</w:t>
      </w:r>
    </w:p>
    <w:p w14:paraId="5AFCFBEA">
      <w:pPr>
        <w:spacing w:line="500" w:lineRule="atLeast"/>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Q1.掌握马列主义、毛泽东思想、邓小平理论和“三个代表”重要思想的基本原理，具有一定的法律、法规知识；</w:t>
      </w:r>
    </w:p>
    <w:p w14:paraId="3659168D">
      <w:pPr>
        <w:spacing w:line="500" w:lineRule="atLeast"/>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Q2.具有良好的职业道德和行为规范，遵纪守法，诚实守信，工作踏实，认真负责；</w:t>
      </w:r>
    </w:p>
    <w:p w14:paraId="12C2F133">
      <w:pPr>
        <w:spacing w:line="500" w:lineRule="atLeast"/>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Q3.具有一定的文化修养和良好的社会交际能力，善于与人沟通，富有团队精神；</w:t>
      </w:r>
    </w:p>
    <w:p w14:paraId="5BABDA10">
      <w:pPr>
        <w:spacing w:line="500" w:lineRule="atLeast"/>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Q4.具有良好的心理素质，自信、开朗、坚毅、正直，积极向上，勇于克服困难；具有一定的体育技能和健康的体魄；</w:t>
      </w:r>
    </w:p>
    <w:p w14:paraId="6AD97BEA">
      <w:pPr>
        <w:spacing w:before="156" w:beforeLines="50" w:line="500" w:lineRule="atLeast"/>
        <w:ind w:firstLine="560" w:firstLineChars="200"/>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rPr>
        <w:t>Q5.具有较强的自学能力、知识获取能力，独立工作能力和一定的自主创新能力。</w:t>
      </w:r>
    </w:p>
    <w:p w14:paraId="3473B3A0">
      <w:pPr>
        <w:numPr>
          <w:ilvl w:val="0"/>
          <w:numId w:val="3"/>
        </w:numPr>
        <w:spacing w:line="500" w:lineRule="atLeast"/>
        <w:ind w:firstLine="562" w:firstLineChars="200"/>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知识目标</w:t>
      </w:r>
    </w:p>
    <w:p w14:paraId="55BEBF17">
      <w:pPr>
        <w:spacing w:before="156" w:beforeLines="50" w:line="500" w:lineRule="atLeast"/>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K1.了解民航基本情况，掌握民航客运服务、货运服务及行李运输、空港及候机楼客运服务的基本常识和服务程序。  </w:t>
      </w:r>
    </w:p>
    <w:p w14:paraId="11B5B784">
      <w:pPr>
        <w:spacing w:before="156" w:beforeLines="50" w:line="500" w:lineRule="atLeast"/>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K2.掌握现代航空服务及旅游管理的基本知识。  </w:t>
      </w:r>
    </w:p>
    <w:p w14:paraId="034DF47C">
      <w:pPr>
        <w:spacing w:before="156" w:beforeLines="50" w:line="500" w:lineRule="atLeast"/>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K3.掌握必须的旅游历史、地理、文学知识。  </w:t>
      </w:r>
    </w:p>
    <w:p w14:paraId="60A8EEFE">
      <w:pPr>
        <w:spacing w:before="156" w:beforeLines="50" w:line="500" w:lineRule="atLeast"/>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K4.掌握旅游职业道德规范和礼貌礼仪常识。  </w:t>
      </w:r>
    </w:p>
    <w:p w14:paraId="4BE57E16">
      <w:pPr>
        <w:spacing w:before="156" w:beforeLines="50" w:line="500" w:lineRule="atLeast"/>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K5.了解客舱服务心理学的基本知识。  </w:t>
      </w:r>
    </w:p>
    <w:p w14:paraId="3E22ED7B">
      <w:pPr>
        <w:spacing w:before="156" w:beforeLines="50" w:line="500" w:lineRule="atLeast"/>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K6.了解航空服务专业应必备的专业技能和相关知识。  </w:t>
      </w:r>
    </w:p>
    <w:p w14:paraId="5CFD5934">
      <w:pPr>
        <w:spacing w:before="156" w:beforeLines="50" w:line="500" w:lineRule="atLeast"/>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K7.掌握计算机操作以及文字编辑与处理的基本知识。  </w:t>
      </w:r>
    </w:p>
    <w:p w14:paraId="7E5411B4">
      <w:pPr>
        <w:spacing w:before="156" w:beforeLines="50" w:line="500" w:lineRule="atLeast"/>
        <w:ind w:firstLine="560" w:firstLineChars="200"/>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rPr>
        <w:t>K8.掌握行业有关法规及国际规范。</w:t>
      </w:r>
    </w:p>
    <w:p w14:paraId="7A382338">
      <w:pPr>
        <w:numPr>
          <w:ilvl w:val="0"/>
          <w:numId w:val="3"/>
        </w:numPr>
        <w:spacing w:line="500" w:lineRule="atLeast"/>
        <w:ind w:firstLine="562" w:firstLineChars="200"/>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能力目标</w:t>
      </w:r>
    </w:p>
    <w:p w14:paraId="56AC0CDC">
      <w:pPr>
        <w:spacing w:before="156" w:beforeLines="50" w:line="500" w:lineRule="atLeast"/>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A1.</w:t>
      </w:r>
      <w:r>
        <w:rPr>
          <w:rFonts w:hint="eastAsia" w:ascii="方正仿宋_GB2312" w:hAnsi="方正仿宋_GB2312" w:eastAsia="方正仿宋_GB2312" w:cs="方正仿宋_GB2312"/>
          <w:bCs/>
          <w:sz w:val="28"/>
          <w:szCs w:val="28"/>
        </w:rPr>
        <w:t>通过公共英语、航空口语等课程的学习，具备良好的英语应用能力，并达到“高等学校英语应用能力考试B级”合格要求；</w:t>
      </w:r>
    </w:p>
    <w:p w14:paraId="217634F5">
      <w:pPr>
        <w:spacing w:before="156" w:beforeLines="50" w:line="500" w:lineRule="atLeast"/>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A2.</w:t>
      </w:r>
      <w:r>
        <w:rPr>
          <w:rFonts w:hint="eastAsia" w:ascii="方正仿宋_GB2312" w:hAnsi="方正仿宋_GB2312" w:eastAsia="方正仿宋_GB2312" w:cs="方正仿宋_GB2312"/>
          <w:bCs/>
          <w:sz w:val="28"/>
          <w:szCs w:val="28"/>
        </w:rPr>
        <w:t>具有</w:t>
      </w:r>
      <w:r>
        <w:rPr>
          <w:rFonts w:hint="eastAsia" w:ascii="方正仿宋_GB2312" w:hAnsi="方正仿宋_GB2312" w:eastAsia="方正仿宋_GB2312" w:cs="方正仿宋_GB2312"/>
          <w:kern w:val="0"/>
          <w:sz w:val="28"/>
          <w:szCs w:val="28"/>
        </w:rPr>
        <w:t>一定的文件检索、资料查询的基本能力，有</w:t>
      </w:r>
      <w:r>
        <w:rPr>
          <w:rFonts w:hint="eastAsia" w:ascii="方正仿宋_GB2312" w:hAnsi="方正仿宋_GB2312" w:eastAsia="方正仿宋_GB2312" w:cs="方正仿宋_GB2312"/>
          <w:bCs/>
          <w:sz w:val="28"/>
          <w:szCs w:val="28"/>
        </w:rPr>
        <w:t>熟练的计算机office办公软件的应用能力和相关软件的操作能力；</w:t>
      </w:r>
      <w:r>
        <w:rPr>
          <w:rFonts w:hint="eastAsia" w:ascii="方正仿宋_GB2312" w:hAnsi="方正仿宋_GB2312" w:eastAsia="方正仿宋_GB2312" w:cs="方正仿宋_GB2312"/>
          <w:sz w:val="28"/>
          <w:szCs w:val="28"/>
        </w:rPr>
        <w:t xml:space="preserve"> </w:t>
      </w:r>
    </w:p>
    <w:p w14:paraId="4EDA5719">
      <w:pPr>
        <w:spacing w:line="500" w:lineRule="atLeast"/>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A3.有一定的人际交往能力，能较快适应航空及酒店服务与管理工作的需要，能够和外宾进行英语沟通的基本能力。</w:t>
      </w:r>
    </w:p>
    <w:p w14:paraId="294C277C">
      <w:pPr>
        <w:spacing w:before="156" w:beforeLines="50" w:line="500" w:lineRule="atLeast"/>
        <w:ind w:firstLine="560" w:firstLineChars="200"/>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 xml:space="preserve">A4.具有航空旅客运输、货物运输服务岗位应有的英语听、说、  读、写能力和计算机应用能力。  </w:t>
      </w:r>
    </w:p>
    <w:p w14:paraId="69938BDF">
      <w:pPr>
        <w:spacing w:before="156" w:beforeLines="50" w:line="500" w:lineRule="atLeast"/>
        <w:ind w:firstLine="560" w:firstLineChars="200"/>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 xml:space="preserve">A5.具有在本岗位工作中运用相关法律的能力。  </w:t>
      </w:r>
    </w:p>
    <w:p w14:paraId="5C69E352">
      <w:pPr>
        <w:spacing w:before="156" w:beforeLines="50" w:line="500" w:lineRule="atLeast"/>
        <w:ind w:firstLine="560" w:firstLineChars="200"/>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 xml:space="preserve">A6.具有空港事务处理、客票销售中的定座和其他处理能力。  </w:t>
      </w:r>
    </w:p>
    <w:p w14:paraId="65429D8C">
      <w:pPr>
        <w:spacing w:before="156" w:beforeLines="50" w:line="500" w:lineRule="atLeast"/>
        <w:ind w:firstLine="560" w:firstLineChars="200"/>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 xml:space="preserve">A7.具有从事航空地面服务的基本技能，具有良好的服务意识  和较强的应变能力，初步具有空港紧急情况处置能力。  </w:t>
      </w:r>
    </w:p>
    <w:p w14:paraId="47A2FF1E">
      <w:pPr>
        <w:spacing w:before="156" w:beforeLines="50" w:line="500" w:lineRule="atLeast"/>
        <w:ind w:firstLine="560" w:firstLineChars="200"/>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 xml:space="preserve">A8.具有在服务业中较规范的人际交往和公关能力。  </w:t>
      </w:r>
    </w:p>
    <w:p w14:paraId="5321F405">
      <w:pPr>
        <w:spacing w:before="156" w:beforeLines="50" w:line="500" w:lineRule="atLeast"/>
        <w:ind w:firstLine="560" w:firstLineChars="200"/>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 xml:space="preserve">A9.具有人际交往、团队合作能力。  </w:t>
      </w:r>
    </w:p>
    <w:p w14:paraId="589B40A7">
      <w:pPr>
        <w:spacing w:before="156" w:beforeLines="50" w:line="500" w:lineRule="atLeast"/>
        <w:ind w:firstLine="560" w:firstLineChars="200"/>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A10.具有较强的自学与获取新知识的能力。</w:t>
      </w:r>
    </w:p>
    <w:p w14:paraId="570C2287">
      <w:pPr>
        <w:spacing w:line="360" w:lineRule="auto"/>
        <w:rPr>
          <w:rFonts w:hint="eastAsia" w:ascii="宋体" w:hAnsi="宋体" w:eastAsia="宋体" w:cs="宋体"/>
          <w:b/>
          <w:bCs/>
          <w:sz w:val="21"/>
          <w:szCs w:val="21"/>
        </w:rPr>
      </w:pPr>
    </w:p>
    <w:p w14:paraId="07958969">
      <w:pPr>
        <w:numPr>
          <w:ilvl w:val="0"/>
          <w:numId w:val="1"/>
        </w:numPr>
        <w:overflowPunct w:val="0"/>
        <w:adjustRightInd w:val="0"/>
        <w:outlineLvl w:val="0"/>
        <w:rPr>
          <w:rFonts w:hint="eastAsia" w:ascii="黑体" w:hAnsi="黑体" w:eastAsia="黑体" w:cs="黑体"/>
          <w:szCs w:val="32"/>
        </w:rPr>
      </w:pPr>
      <w:bookmarkStart w:id="6" w:name="_Toc23803"/>
      <w:r>
        <w:rPr>
          <w:rFonts w:hint="eastAsia" w:ascii="黑体" w:hAnsi="黑体" w:eastAsia="黑体" w:cs="黑体"/>
          <w:szCs w:val="32"/>
        </w:rPr>
        <w:t>课程设置及要求</w:t>
      </w:r>
      <w:bookmarkEnd w:id="6"/>
    </w:p>
    <w:p w14:paraId="0EC537FF">
      <w:pPr>
        <w:pStyle w:val="12"/>
        <w:spacing w:line="500" w:lineRule="exact"/>
        <w:ind w:firstLine="56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本专业课程主要包括公共基础课和专业（技能）课程。其中，专业（技能）课程包括专业基础课、专业核心课、专业实践课和专业拓展课。</w:t>
      </w:r>
    </w:p>
    <w:p w14:paraId="3F01E39D">
      <w:pPr>
        <w:pStyle w:val="12"/>
        <w:spacing w:line="500" w:lineRule="exact"/>
        <w:ind w:firstLine="482"/>
        <w:jc w:val="center"/>
        <w:rPr>
          <w:rFonts w:hint="eastAsia" w:ascii="宋体" w:hAnsi="宋体" w:eastAsia="宋体" w:cs="宋体"/>
          <w:sz w:val="21"/>
          <w:szCs w:val="21"/>
        </w:rPr>
      </w:pPr>
      <w:r>
        <w:rPr>
          <w:rFonts w:hint="eastAsia" w:ascii="宋体" w:hAnsi="宋体" w:eastAsia="宋体" w:cs="宋体"/>
          <w:b/>
          <w:bCs/>
          <w:sz w:val="24"/>
        </w:rPr>
        <w:t>表2专业课程设置表</w:t>
      </w:r>
    </w:p>
    <w:tbl>
      <w:tblPr>
        <w:tblStyle w:val="9"/>
        <w:tblW w:w="87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7"/>
        <w:gridCol w:w="1892"/>
        <w:gridCol w:w="5899"/>
      </w:tblGrid>
      <w:tr w14:paraId="399E3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927" w:type="dxa"/>
            <w:shd w:val="clear" w:color="auto" w:fill="D7D7D7" w:themeFill="background1" w:themeFillShade="D8"/>
            <w:vAlign w:val="center"/>
          </w:tcPr>
          <w:p w14:paraId="4685DDCB">
            <w:pPr>
              <w:pStyle w:val="12"/>
              <w:ind w:firstLine="0" w:firstLineChars="0"/>
              <w:jc w:val="center"/>
              <w:rPr>
                <w:rFonts w:hint="eastAsia" w:ascii="宋体" w:hAnsi="宋体" w:eastAsia="宋体" w:cs="宋体"/>
                <w:b/>
                <w:bCs/>
                <w:sz w:val="18"/>
                <w:szCs w:val="18"/>
              </w:rPr>
            </w:pPr>
            <w:r>
              <w:rPr>
                <w:rFonts w:hint="eastAsia" w:ascii="宋体" w:hAnsi="宋体" w:eastAsia="宋体" w:cs="宋体"/>
                <w:b/>
                <w:bCs/>
                <w:sz w:val="18"/>
                <w:szCs w:val="18"/>
              </w:rPr>
              <w:t>序号</w:t>
            </w:r>
          </w:p>
        </w:tc>
        <w:tc>
          <w:tcPr>
            <w:tcW w:w="1903" w:type="dxa"/>
            <w:shd w:val="clear" w:color="auto" w:fill="D7D7D7" w:themeFill="background1" w:themeFillShade="D8"/>
            <w:vAlign w:val="center"/>
          </w:tcPr>
          <w:p w14:paraId="189A93D5">
            <w:pPr>
              <w:pStyle w:val="12"/>
              <w:ind w:firstLine="0" w:firstLineChars="0"/>
              <w:jc w:val="center"/>
              <w:rPr>
                <w:rFonts w:hint="eastAsia" w:ascii="宋体" w:hAnsi="宋体" w:eastAsia="宋体" w:cs="宋体"/>
                <w:b/>
                <w:bCs/>
                <w:sz w:val="18"/>
                <w:szCs w:val="18"/>
              </w:rPr>
            </w:pPr>
            <w:r>
              <w:rPr>
                <w:rFonts w:hint="eastAsia" w:ascii="宋体" w:hAnsi="宋体" w:eastAsia="宋体" w:cs="宋体"/>
                <w:b/>
                <w:bCs/>
                <w:sz w:val="18"/>
                <w:szCs w:val="18"/>
              </w:rPr>
              <w:t>课程</w:t>
            </w:r>
            <w:r>
              <w:rPr>
                <w:rFonts w:hint="eastAsia" w:ascii="宋体" w:hAnsi="宋体" w:cs="宋体"/>
                <w:b/>
                <w:bCs/>
                <w:sz w:val="18"/>
                <w:szCs w:val="18"/>
              </w:rPr>
              <w:t>类别</w:t>
            </w:r>
          </w:p>
        </w:tc>
        <w:tc>
          <w:tcPr>
            <w:tcW w:w="5968" w:type="dxa"/>
            <w:shd w:val="clear" w:color="auto" w:fill="D7D7D7" w:themeFill="background1" w:themeFillShade="D8"/>
            <w:vAlign w:val="center"/>
          </w:tcPr>
          <w:p w14:paraId="7D26191C">
            <w:pPr>
              <w:pStyle w:val="12"/>
              <w:ind w:firstLine="0" w:firstLineChars="0"/>
              <w:jc w:val="center"/>
              <w:rPr>
                <w:rFonts w:hint="eastAsia" w:ascii="宋体" w:hAnsi="宋体" w:eastAsia="宋体" w:cs="宋体"/>
                <w:b/>
                <w:bCs/>
                <w:sz w:val="18"/>
                <w:szCs w:val="18"/>
              </w:rPr>
            </w:pPr>
            <w:r>
              <w:rPr>
                <w:rFonts w:hint="eastAsia" w:ascii="宋体" w:hAnsi="宋体" w:eastAsia="宋体" w:cs="宋体"/>
                <w:b/>
                <w:bCs/>
                <w:sz w:val="18"/>
                <w:szCs w:val="18"/>
              </w:rPr>
              <w:t>描述</w:t>
            </w:r>
          </w:p>
        </w:tc>
      </w:tr>
      <w:tr w14:paraId="6DABA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27" w:type="dxa"/>
            <w:vAlign w:val="center"/>
          </w:tcPr>
          <w:p w14:paraId="051722CD">
            <w:pPr>
              <w:pStyle w:val="12"/>
              <w:spacing w:line="500" w:lineRule="exact"/>
              <w:ind w:firstLine="56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1</w:t>
            </w:r>
          </w:p>
        </w:tc>
        <w:tc>
          <w:tcPr>
            <w:tcW w:w="1903" w:type="dxa"/>
            <w:vAlign w:val="center"/>
          </w:tcPr>
          <w:p w14:paraId="639ED4DB">
            <w:pPr>
              <w:spacing w:line="500" w:lineRule="exact"/>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公共基础课</w:t>
            </w:r>
          </w:p>
        </w:tc>
        <w:tc>
          <w:tcPr>
            <w:tcW w:w="5968" w:type="dxa"/>
          </w:tcPr>
          <w:p w14:paraId="5F58D336">
            <w:pPr>
              <w:pStyle w:val="12"/>
              <w:spacing w:line="500" w:lineRule="exact"/>
              <w:ind w:firstLine="0" w:firstLineChars="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根据党和国家有关文件规定，将形势与政策、思想道德修养与法律基础、毛泽东思想与中国特色社会主义理论体系概论、习近平新时代中国特色社会主义思想概论、军事理论、体育｜、体育Ⅱ、体育Ⅲ、体育Ⅳ、大学生心理健康、公共英语、计算机基础、职业英语、大学语文、职业生涯规划、创新与创业、就业指导、艺术赏析与劳动通识教育等列入公共限选课。</w:t>
            </w:r>
          </w:p>
        </w:tc>
      </w:tr>
      <w:tr w14:paraId="7DD37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927" w:type="dxa"/>
            <w:vAlign w:val="center"/>
          </w:tcPr>
          <w:p w14:paraId="6E8849B2">
            <w:pPr>
              <w:pStyle w:val="12"/>
              <w:spacing w:line="500" w:lineRule="exact"/>
              <w:ind w:firstLine="56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w:t>
            </w:r>
          </w:p>
        </w:tc>
        <w:tc>
          <w:tcPr>
            <w:tcW w:w="1903" w:type="dxa"/>
            <w:vAlign w:val="center"/>
          </w:tcPr>
          <w:p w14:paraId="7D801996">
            <w:pPr>
              <w:spacing w:line="500" w:lineRule="exact"/>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专业基础课</w:t>
            </w:r>
          </w:p>
        </w:tc>
        <w:tc>
          <w:tcPr>
            <w:tcW w:w="5968" w:type="dxa"/>
            <w:vAlign w:val="center"/>
          </w:tcPr>
          <w:p w14:paraId="36628D4C">
            <w:pPr>
              <w:pStyle w:val="12"/>
              <w:spacing w:line="500" w:lineRule="exact"/>
              <w:ind w:firstLine="0" w:firstLineChars="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专业基础课设置9门，包括：民航概论、民航旅客运输、民航法律法规、民航服务礼仪、化妆与职业形象塑造、形体训练、民航地面服务与管理、航空运输地理与民航面试技巧。</w:t>
            </w:r>
          </w:p>
        </w:tc>
      </w:tr>
      <w:tr w14:paraId="4B830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27" w:type="dxa"/>
            <w:vAlign w:val="center"/>
          </w:tcPr>
          <w:p w14:paraId="34516D01">
            <w:pPr>
              <w:pStyle w:val="12"/>
              <w:spacing w:line="500" w:lineRule="exact"/>
              <w:ind w:firstLine="56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3</w:t>
            </w:r>
          </w:p>
        </w:tc>
        <w:tc>
          <w:tcPr>
            <w:tcW w:w="1903" w:type="dxa"/>
            <w:vAlign w:val="center"/>
          </w:tcPr>
          <w:p w14:paraId="32CF7DA1">
            <w:pPr>
              <w:spacing w:line="500" w:lineRule="exact"/>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专业核心课</w:t>
            </w:r>
          </w:p>
        </w:tc>
        <w:tc>
          <w:tcPr>
            <w:tcW w:w="5968" w:type="dxa"/>
            <w:vAlign w:val="center"/>
          </w:tcPr>
          <w:p w14:paraId="5D136127">
            <w:pPr>
              <w:pStyle w:val="12"/>
              <w:spacing w:line="500" w:lineRule="exact"/>
              <w:ind w:firstLine="0" w:firstLineChars="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专业核心课程设置6门，包括：民航服务心理学、民航服务沟通技巧、客舱服务英语、客舱设施与服务、客舱安全与应急处置、民航客舱救护。</w:t>
            </w:r>
          </w:p>
        </w:tc>
      </w:tr>
      <w:tr w14:paraId="0AFCA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927" w:type="dxa"/>
            <w:vAlign w:val="center"/>
          </w:tcPr>
          <w:p w14:paraId="7C148EFF">
            <w:pPr>
              <w:pStyle w:val="12"/>
              <w:spacing w:line="500" w:lineRule="exact"/>
              <w:ind w:firstLine="56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4</w:t>
            </w:r>
          </w:p>
        </w:tc>
        <w:tc>
          <w:tcPr>
            <w:tcW w:w="1903" w:type="dxa"/>
            <w:vAlign w:val="center"/>
          </w:tcPr>
          <w:p w14:paraId="3BBEB65C">
            <w:pPr>
              <w:spacing w:line="500" w:lineRule="exact"/>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专业实践课</w:t>
            </w:r>
          </w:p>
          <w:p w14:paraId="1E66CCA7">
            <w:pPr>
              <w:pStyle w:val="12"/>
              <w:spacing w:line="500" w:lineRule="exact"/>
              <w:ind w:firstLine="0" w:firstLineChars="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(实践性教学环节)</w:t>
            </w:r>
          </w:p>
        </w:tc>
        <w:tc>
          <w:tcPr>
            <w:tcW w:w="5968" w:type="dxa"/>
            <w:vAlign w:val="center"/>
          </w:tcPr>
          <w:p w14:paraId="68C5E55A">
            <w:pPr>
              <w:pStyle w:val="12"/>
              <w:spacing w:line="500" w:lineRule="exact"/>
              <w:ind w:firstLine="0" w:firstLineChars="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专业实践课包括：乘务礼仪实训、客舱服务综合训练、客舱设备操作操作、客舱应急处置与逃生训练。</w:t>
            </w:r>
          </w:p>
        </w:tc>
      </w:tr>
      <w:tr w14:paraId="01036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927" w:type="dxa"/>
            <w:vAlign w:val="center"/>
          </w:tcPr>
          <w:p w14:paraId="18B3F8BB">
            <w:pPr>
              <w:pStyle w:val="12"/>
              <w:spacing w:line="500" w:lineRule="exact"/>
              <w:ind w:firstLine="56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5</w:t>
            </w:r>
          </w:p>
        </w:tc>
        <w:tc>
          <w:tcPr>
            <w:tcW w:w="1903" w:type="dxa"/>
            <w:vAlign w:val="center"/>
          </w:tcPr>
          <w:p w14:paraId="4B59EB7C">
            <w:pPr>
              <w:pStyle w:val="12"/>
              <w:spacing w:line="500" w:lineRule="exact"/>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专业拓展课</w:t>
            </w:r>
          </w:p>
        </w:tc>
        <w:tc>
          <w:tcPr>
            <w:tcW w:w="5968" w:type="dxa"/>
            <w:vAlign w:val="center"/>
          </w:tcPr>
          <w:p w14:paraId="53ABCDCF">
            <w:pPr>
              <w:pStyle w:val="12"/>
              <w:spacing w:line="500" w:lineRule="exact"/>
              <w:ind w:firstLine="0" w:firstLineChars="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专业拓展课设置4门，包括：航空安全管理、航空餐饮服务与管理、旅游文化知识、民航危险品运输。</w:t>
            </w:r>
          </w:p>
        </w:tc>
      </w:tr>
    </w:tbl>
    <w:p w14:paraId="7BD06136">
      <w:pPr>
        <w:overflowPunct w:val="0"/>
        <w:adjustRightInd w:val="0"/>
        <w:ind w:left="640"/>
        <w:rPr>
          <w:rFonts w:hint="eastAsia" w:ascii="仿宋" w:hAnsi="仿宋" w:eastAsia="仿宋" w:cs="仿宋"/>
          <w:szCs w:val="32"/>
        </w:rPr>
        <w:sectPr>
          <w:pgSz w:w="11906" w:h="16838"/>
          <w:pgMar w:top="1440" w:right="1800" w:bottom="1440" w:left="1800" w:header="851" w:footer="992" w:gutter="0"/>
          <w:cols w:space="425" w:num="1"/>
          <w:docGrid w:type="lines" w:linePitch="312" w:charSpace="0"/>
        </w:sectPr>
      </w:pPr>
    </w:p>
    <w:p w14:paraId="042E48D6">
      <w:pPr>
        <w:overflowPunct w:val="0"/>
        <w:adjustRightInd w:val="0"/>
        <w:spacing w:before="218" w:beforeLines="50" w:after="218" w:afterLines="50" w:line="440" w:lineRule="exact"/>
        <w:ind w:firstLine="643" w:firstLineChars="200"/>
        <w:rPr>
          <w:rFonts w:hint="eastAsia" w:ascii="仿宋" w:hAnsi="仿宋" w:eastAsia="仿宋" w:cs="仿宋"/>
          <w:szCs w:val="32"/>
        </w:rPr>
      </w:pPr>
      <w:r>
        <w:rPr>
          <w:rFonts w:hint="eastAsia" w:ascii="楷体" w:hAnsi="楷体" w:eastAsia="楷体" w:cs="楷体"/>
          <w:b/>
          <w:szCs w:val="32"/>
        </w:rPr>
        <w:t>（一）公共基础课</w:t>
      </w:r>
    </w:p>
    <w:p w14:paraId="7EACEE43">
      <w:pPr>
        <w:overflowPunct w:val="0"/>
        <w:adjustRightInd w:val="0"/>
        <w:spacing w:line="500" w:lineRule="exact"/>
        <w:ind w:firstLine="562" w:firstLineChars="20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rPr>
        <w:t>表3 专业公共基础课程设置表</w:t>
      </w:r>
    </w:p>
    <w:tbl>
      <w:tblPr>
        <w:tblStyle w:val="9"/>
        <w:tblW w:w="13616" w:type="dxa"/>
        <w:tblInd w:w="2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7"/>
        <w:gridCol w:w="2152"/>
        <w:gridCol w:w="1784"/>
        <w:gridCol w:w="8433"/>
      </w:tblGrid>
      <w:tr w14:paraId="0B505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6" w:hRule="atLeast"/>
        </w:trPr>
        <w:tc>
          <w:tcPr>
            <w:tcW w:w="1247" w:type="dxa"/>
            <w:shd w:val="clear" w:color="auto" w:fill="D7D7D7"/>
            <w:vAlign w:val="center"/>
          </w:tcPr>
          <w:p w14:paraId="4B3D8D34">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课程模块</w:t>
            </w:r>
          </w:p>
        </w:tc>
        <w:tc>
          <w:tcPr>
            <w:tcW w:w="2152" w:type="dxa"/>
            <w:shd w:val="clear" w:color="auto" w:fill="D7D7D7"/>
            <w:vAlign w:val="center"/>
          </w:tcPr>
          <w:p w14:paraId="135EF051">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课程名称</w:t>
            </w:r>
          </w:p>
        </w:tc>
        <w:tc>
          <w:tcPr>
            <w:tcW w:w="1784" w:type="dxa"/>
            <w:shd w:val="clear" w:color="auto" w:fill="D7D7D7"/>
            <w:vAlign w:val="center"/>
          </w:tcPr>
          <w:p w14:paraId="3C360088">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课程性质</w:t>
            </w:r>
          </w:p>
        </w:tc>
        <w:tc>
          <w:tcPr>
            <w:tcW w:w="8433" w:type="dxa"/>
            <w:shd w:val="clear" w:color="auto" w:fill="D7D7D7"/>
            <w:vAlign w:val="center"/>
          </w:tcPr>
          <w:p w14:paraId="7EBF4894">
            <w:pPr>
              <w:pStyle w:val="12"/>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课程目标</w:t>
            </w:r>
          </w:p>
        </w:tc>
      </w:tr>
      <w:tr w14:paraId="7CCB9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1247" w:type="dxa"/>
            <w:vMerge w:val="restart"/>
            <w:shd w:val="clear" w:color="auto" w:fill="FFFFFF"/>
            <w:vAlign w:val="center"/>
          </w:tcPr>
          <w:p w14:paraId="24AE34E1">
            <w:pPr>
              <w:pStyle w:val="12"/>
              <w:ind w:firstLine="0" w:firstLineChars="0"/>
              <w:rPr>
                <w:rFonts w:hint="eastAsia" w:ascii="方正仿宋_GB2312" w:hAnsi="方正仿宋_GB2312" w:eastAsia="方正仿宋_GB2312" w:cs="方正仿宋_GB2312"/>
                <w:b/>
                <w:sz w:val="21"/>
                <w:szCs w:val="21"/>
              </w:rPr>
            </w:pPr>
            <w:r>
              <w:rPr>
                <w:rFonts w:hint="eastAsia" w:ascii="方正仿宋_GB2312" w:hAnsi="方正仿宋_GB2312" w:eastAsia="方正仿宋_GB2312" w:cs="方正仿宋_GB2312"/>
                <w:sz w:val="21"/>
                <w:szCs w:val="21"/>
              </w:rPr>
              <w:t>思政教育课程模块</w:t>
            </w:r>
          </w:p>
        </w:tc>
        <w:tc>
          <w:tcPr>
            <w:tcW w:w="2152" w:type="dxa"/>
            <w:shd w:val="clear" w:color="auto" w:fill="FFFFFF"/>
            <w:vAlign w:val="center"/>
          </w:tcPr>
          <w:p w14:paraId="4A2F5FEC">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思想道德与法治</w:t>
            </w:r>
          </w:p>
        </w:tc>
        <w:tc>
          <w:tcPr>
            <w:tcW w:w="1784" w:type="dxa"/>
            <w:shd w:val="clear" w:color="auto" w:fill="FFFFFF"/>
            <w:vAlign w:val="center"/>
          </w:tcPr>
          <w:p w14:paraId="167FC5D1">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33" w:type="dxa"/>
            <w:shd w:val="clear" w:color="auto" w:fill="FFFFFF"/>
            <w:vAlign w:val="center"/>
          </w:tcPr>
          <w:p w14:paraId="3ED497AD">
            <w:pP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引导学生提高思想道德素质和法治素养，成长为自觉担当民族复兴大任的时代新人。</w:t>
            </w:r>
          </w:p>
        </w:tc>
      </w:tr>
      <w:tr w14:paraId="7345C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7" w:type="dxa"/>
            <w:vMerge w:val="continue"/>
            <w:shd w:val="clear" w:color="auto" w:fill="FFFFFF"/>
            <w:vAlign w:val="center"/>
          </w:tcPr>
          <w:p w14:paraId="2A4EB6E3">
            <w:pPr>
              <w:pStyle w:val="12"/>
              <w:rPr>
                <w:rFonts w:hint="eastAsia" w:ascii="方正仿宋_GB2312" w:hAnsi="方正仿宋_GB2312" w:eastAsia="方正仿宋_GB2312" w:cs="方正仿宋_GB2312"/>
                <w:sz w:val="21"/>
                <w:szCs w:val="21"/>
              </w:rPr>
            </w:pPr>
          </w:p>
        </w:tc>
        <w:tc>
          <w:tcPr>
            <w:tcW w:w="2152" w:type="dxa"/>
            <w:shd w:val="clear" w:color="auto" w:fill="FFFFFF"/>
            <w:vAlign w:val="center"/>
          </w:tcPr>
          <w:p w14:paraId="28CAF736">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毛泽东思想和中国特色社会主义理论体系概论</w:t>
            </w:r>
          </w:p>
        </w:tc>
        <w:tc>
          <w:tcPr>
            <w:tcW w:w="1784" w:type="dxa"/>
            <w:shd w:val="clear" w:color="auto" w:fill="FFFFFF"/>
            <w:vAlign w:val="center"/>
          </w:tcPr>
          <w:p w14:paraId="0D7A96CE">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33" w:type="dxa"/>
            <w:shd w:val="clear" w:color="auto" w:fill="FFFFFF"/>
            <w:vAlign w:val="center"/>
          </w:tcPr>
          <w:p w14:paraId="32F81B8D">
            <w:pP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引导学生系统把握马克思主义中国化时代化理论成果所蕴含的马克思主义立场、观点和方法，坚定中国特色社会主义道路自信、理论自信、制度自信、文化自信，增进政治认同、思想认同、情感认同，使其努力成为堪当民族复兴重任的时代新人。</w:t>
            </w:r>
          </w:p>
        </w:tc>
      </w:tr>
      <w:tr w14:paraId="0E528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1247" w:type="dxa"/>
            <w:vMerge w:val="continue"/>
            <w:shd w:val="clear" w:color="auto" w:fill="FFFFFF"/>
            <w:vAlign w:val="center"/>
          </w:tcPr>
          <w:p w14:paraId="57967749">
            <w:pPr>
              <w:pStyle w:val="12"/>
              <w:rPr>
                <w:rFonts w:hint="eastAsia" w:ascii="方正仿宋_GB2312" w:hAnsi="方正仿宋_GB2312" w:eastAsia="方正仿宋_GB2312" w:cs="方正仿宋_GB2312"/>
                <w:sz w:val="21"/>
                <w:szCs w:val="21"/>
              </w:rPr>
            </w:pPr>
          </w:p>
        </w:tc>
        <w:tc>
          <w:tcPr>
            <w:tcW w:w="2152" w:type="dxa"/>
            <w:shd w:val="clear" w:color="auto" w:fill="FFFFFF"/>
            <w:vAlign w:val="center"/>
          </w:tcPr>
          <w:p w14:paraId="426B0BA7">
            <w:pPr>
              <w:pStyle w:val="12"/>
              <w:ind w:firstLine="0" w:firstLineChars="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习近平新时代中国特色社会主义思想概论</w:t>
            </w:r>
          </w:p>
        </w:tc>
        <w:tc>
          <w:tcPr>
            <w:tcW w:w="1784" w:type="dxa"/>
            <w:shd w:val="clear" w:color="auto" w:fill="FFFFFF"/>
            <w:vAlign w:val="center"/>
          </w:tcPr>
          <w:p w14:paraId="1FAAE13C">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33" w:type="dxa"/>
            <w:shd w:val="clear" w:color="auto" w:fill="FFFFFF"/>
            <w:vAlign w:val="center"/>
          </w:tcPr>
          <w:p w14:paraId="798F6CEC">
            <w:pPr>
              <w:pStyle w:val="12"/>
              <w:ind w:firstLine="0" w:firstLineChars="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帮助学生深入领会和理解习近平新时代中国特色社会主义思想的重大意义、丰富内涵、核心要义、精神实质和实践要求。引导学生深刻把握习近平新时代中国特色社会主义思想贯穿的马克思主义立场观点方法。引领学生紧密联系新时代中国特色社会主义生动实践，在知行合一、学以致用上下功夫，增强学生为实现中华民族伟大复兴的中国梦而奋斗的责任意识与使命担当。</w:t>
            </w:r>
          </w:p>
        </w:tc>
      </w:tr>
      <w:tr w14:paraId="7F562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1247" w:type="dxa"/>
            <w:vMerge w:val="continue"/>
            <w:shd w:val="clear" w:color="auto" w:fill="FFFFFF"/>
            <w:vAlign w:val="center"/>
          </w:tcPr>
          <w:p w14:paraId="0F225DCE">
            <w:pPr>
              <w:pStyle w:val="12"/>
              <w:rPr>
                <w:rFonts w:hint="eastAsia" w:ascii="方正仿宋_GB2312" w:hAnsi="方正仿宋_GB2312" w:eastAsia="方正仿宋_GB2312" w:cs="方正仿宋_GB2312"/>
                <w:sz w:val="21"/>
                <w:szCs w:val="21"/>
              </w:rPr>
            </w:pPr>
          </w:p>
        </w:tc>
        <w:tc>
          <w:tcPr>
            <w:tcW w:w="2152" w:type="dxa"/>
            <w:shd w:val="clear" w:color="auto" w:fill="FFFFFF"/>
            <w:vAlign w:val="center"/>
          </w:tcPr>
          <w:p w14:paraId="34756F52">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形势与政策</w:t>
            </w:r>
          </w:p>
        </w:tc>
        <w:tc>
          <w:tcPr>
            <w:tcW w:w="1784" w:type="dxa"/>
            <w:shd w:val="clear" w:color="auto" w:fill="FFFFFF"/>
            <w:vAlign w:val="center"/>
          </w:tcPr>
          <w:p w14:paraId="183C5B35">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33" w:type="dxa"/>
            <w:shd w:val="clear" w:color="auto" w:fill="FFFFFF"/>
            <w:vAlign w:val="center"/>
          </w:tcPr>
          <w:p w14:paraId="5E83BF7E">
            <w:pPr>
              <w:pStyle w:val="12"/>
              <w:ind w:firstLine="0" w:firstLineChars="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提高大学生运用马克思主义理论分析国内、国际形势与政策的能力和大学生思想政治素养。</w:t>
            </w:r>
          </w:p>
        </w:tc>
      </w:tr>
      <w:tr w14:paraId="4F310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7" w:type="dxa"/>
            <w:vMerge w:val="continue"/>
            <w:shd w:val="clear" w:color="auto" w:fill="FFFFFF"/>
            <w:vAlign w:val="center"/>
          </w:tcPr>
          <w:p w14:paraId="27A1AA89">
            <w:pPr>
              <w:pStyle w:val="12"/>
              <w:rPr>
                <w:rFonts w:hint="eastAsia" w:ascii="方正仿宋_GB2312" w:hAnsi="方正仿宋_GB2312" w:eastAsia="方正仿宋_GB2312" w:cs="方正仿宋_GB2312"/>
                <w:sz w:val="21"/>
                <w:szCs w:val="21"/>
              </w:rPr>
            </w:pPr>
          </w:p>
        </w:tc>
        <w:tc>
          <w:tcPr>
            <w:tcW w:w="2152" w:type="dxa"/>
            <w:shd w:val="clear" w:color="auto" w:fill="FFFFFF"/>
            <w:vAlign w:val="center"/>
          </w:tcPr>
          <w:p w14:paraId="0018063E">
            <w:pPr>
              <w:pStyle w:val="12"/>
              <w:rPr>
                <w:rFonts w:hint="eastAsia" w:ascii="方正仿宋_GB2312" w:hAnsi="方正仿宋_GB2312" w:eastAsia="方正仿宋_GB2312" w:cs="方正仿宋_GB2312"/>
                <w:sz w:val="21"/>
                <w:szCs w:val="21"/>
                <w:highlight w:val="yellow"/>
              </w:rPr>
            </w:pPr>
            <w:r>
              <w:rPr>
                <w:rFonts w:hint="eastAsia" w:ascii="方正仿宋_GB2312" w:hAnsi="方正仿宋_GB2312" w:eastAsia="方正仿宋_GB2312" w:cs="方正仿宋_GB2312"/>
                <w:sz w:val="21"/>
                <w:szCs w:val="21"/>
              </w:rPr>
              <w:t>“四史”教育</w:t>
            </w:r>
          </w:p>
        </w:tc>
        <w:tc>
          <w:tcPr>
            <w:tcW w:w="1784" w:type="dxa"/>
            <w:shd w:val="clear" w:color="auto" w:fill="FFFFFF"/>
            <w:vAlign w:val="center"/>
          </w:tcPr>
          <w:p w14:paraId="34B41C0A">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◆公共限选课</w:t>
            </w:r>
          </w:p>
        </w:tc>
        <w:tc>
          <w:tcPr>
            <w:tcW w:w="8433" w:type="dxa"/>
            <w:shd w:val="clear" w:color="auto" w:fill="FFFFFF"/>
            <w:vAlign w:val="center"/>
          </w:tcPr>
          <w:p w14:paraId="7CA48937">
            <w:pPr>
              <w:pStyle w:val="12"/>
              <w:ind w:firstLine="0" w:firstLineChars="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通过开发“四史”专题内容设计，采用线上线下结合的方式，开发“四史”特色课程，学生在学“四史”中深化思想基础、升华感悟境界、厚植家国情怀。（分为四个模块：中国共产党历史、新中国史、改革开放史、社会主义发展史）</w:t>
            </w:r>
          </w:p>
        </w:tc>
      </w:tr>
      <w:tr w14:paraId="58362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7" w:type="dxa"/>
            <w:vMerge w:val="restart"/>
            <w:shd w:val="clear" w:color="auto" w:fill="FFFFFF"/>
            <w:vAlign w:val="center"/>
          </w:tcPr>
          <w:p w14:paraId="279E8506">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创新创业课程与职业素养模块</w:t>
            </w:r>
          </w:p>
        </w:tc>
        <w:tc>
          <w:tcPr>
            <w:tcW w:w="2152" w:type="dxa"/>
            <w:shd w:val="clear" w:color="auto" w:fill="FFFFFF"/>
            <w:vAlign w:val="center"/>
          </w:tcPr>
          <w:p w14:paraId="076210F3">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创新与创业</w:t>
            </w:r>
          </w:p>
        </w:tc>
        <w:tc>
          <w:tcPr>
            <w:tcW w:w="1784" w:type="dxa"/>
            <w:shd w:val="clear" w:color="auto" w:fill="FFFFFF"/>
            <w:vAlign w:val="center"/>
          </w:tcPr>
          <w:p w14:paraId="5830DE9E">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33" w:type="dxa"/>
            <w:shd w:val="clear" w:color="auto" w:fill="FFFFFF"/>
            <w:vAlign w:val="center"/>
          </w:tcPr>
          <w:p w14:paraId="65D930E8">
            <w:pPr>
              <w:pStyle w:val="12"/>
              <w:ind w:firstLine="0" w:firstLineChars="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通过基于设计思维的创新思维及工具方法训练，培养学生的问题意识、批判意识和创造性思维，提升学生发现新事物、探索新领域、寻求新方法等方面的能力，以及创新性解决实际问题的综合能力；立足培养学生的创业意识和创业精神，着重提升学生的创新创业能力，强化创业知识的实际应用，强调与专业结合，与职业生活紧密结合。</w:t>
            </w:r>
          </w:p>
        </w:tc>
      </w:tr>
      <w:tr w14:paraId="3E73C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247" w:type="dxa"/>
            <w:vMerge w:val="continue"/>
            <w:shd w:val="clear" w:color="auto" w:fill="FFFFFF"/>
            <w:vAlign w:val="center"/>
          </w:tcPr>
          <w:p w14:paraId="30BC5F6A">
            <w:pPr>
              <w:pStyle w:val="12"/>
              <w:rPr>
                <w:rFonts w:hint="eastAsia" w:ascii="方正仿宋_GB2312" w:hAnsi="方正仿宋_GB2312" w:eastAsia="方正仿宋_GB2312" w:cs="方正仿宋_GB2312"/>
                <w:sz w:val="21"/>
                <w:szCs w:val="21"/>
              </w:rPr>
            </w:pPr>
          </w:p>
        </w:tc>
        <w:tc>
          <w:tcPr>
            <w:tcW w:w="2152" w:type="dxa"/>
            <w:shd w:val="clear" w:color="auto" w:fill="FFFFFF"/>
            <w:vAlign w:val="center"/>
          </w:tcPr>
          <w:p w14:paraId="45A51FBA">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职业生涯规划</w:t>
            </w:r>
          </w:p>
        </w:tc>
        <w:tc>
          <w:tcPr>
            <w:tcW w:w="1784" w:type="dxa"/>
            <w:shd w:val="clear" w:color="auto" w:fill="FFFFFF"/>
            <w:vAlign w:val="center"/>
          </w:tcPr>
          <w:p w14:paraId="6ABF0194">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33" w:type="dxa"/>
            <w:shd w:val="clear" w:color="auto" w:fill="FFFFFF"/>
            <w:vAlign w:val="center"/>
          </w:tcPr>
          <w:p w14:paraId="3CAC70E5">
            <w:pPr>
              <w:pStyle w:val="12"/>
              <w:ind w:firstLine="0" w:firstLineChars="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通过学习，树立积极的职业态度和就业观念，掌握职业生涯规划方法，具备自我认识和分析技能。</w:t>
            </w:r>
          </w:p>
        </w:tc>
      </w:tr>
      <w:tr w14:paraId="4C38F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247" w:type="dxa"/>
            <w:vMerge w:val="continue"/>
            <w:shd w:val="clear" w:color="auto" w:fill="FFFFFF"/>
            <w:vAlign w:val="center"/>
          </w:tcPr>
          <w:p w14:paraId="7B36CFA3">
            <w:pPr>
              <w:pStyle w:val="12"/>
              <w:rPr>
                <w:rFonts w:hint="eastAsia" w:ascii="方正仿宋_GB2312" w:hAnsi="方正仿宋_GB2312" w:eastAsia="方正仿宋_GB2312" w:cs="方正仿宋_GB2312"/>
                <w:sz w:val="21"/>
                <w:szCs w:val="21"/>
              </w:rPr>
            </w:pPr>
          </w:p>
        </w:tc>
        <w:tc>
          <w:tcPr>
            <w:tcW w:w="2152" w:type="dxa"/>
            <w:shd w:val="clear" w:color="auto" w:fill="FFFFFF"/>
            <w:vAlign w:val="center"/>
          </w:tcPr>
          <w:p w14:paraId="00C8ABE3">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就业指导</w:t>
            </w:r>
          </w:p>
        </w:tc>
        <w:tc>
          <w:tcPr>
            <w:tcW w:w="1784" w:type="dxa"/>
            <w:shd w:val="clear" w:color="auto" w:fill="FFFFFF"/>
            <w:vAlign w:val="center"/>
          </w:tcPr>
          <w:p w14:paraId="2D76C6C2">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33" w:type="dxa"/>
            <w:shd w:val="clear" w:color="auto" w:fill="FFFFFF"/>
            <w:vAlign w:val="center"/>
          </w:tcPr>
          <w:p w14:paraId="40B3C929">
            <w:pPr>
              <w:pStyle w:val="12"/>
              <w:ind w:firstLine="0" w:firstLineChars="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通过系统化的就业指导，使学生了解就业形势和就业政策，提高就业竞争意识，形成正确的就业观。</w:t>
            </w:r>
          </w:p>
        </w:tc>
      </w:tr>
      <w:tr w14:paraId="69EBD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247" w:type="dxa"/>
            <w:vMerge w:val="continue"/>
            <w:shd w:val="clear" w:color="auto" w:fill="FFFFFF"/>
            <w:vAlign w:val="center"/>
          </w:tcPr>
          <w:p w14:paraId="3F6446B2">
            <w:pPr>
              <w:pStyle w:val="12"/>
              <w:rPr>
                <w:rFonts w:hint="eastAsia" w:ascii="方正仿宋_GB2312" w:hAnsi="方正仿宋_GB2312" w:eastAsia="方正仿宋_GB2312" w:cs="方正仿宋_GB2312"/>
                <w:sz w:val="21"/>
                <w:szCs w:val="21"/>
              </w:rPr>
            </w:pPr>
          </w:p>
        </w:tc>
        <w:tc>
          <w:tcPr>
            <w:tcW w:w="2152" w:type="dxa"/>
            <w:shd w:val="clear" w:color="auto" w:fill="FFFFFF"/>
            <w:vAlign w:val="center"/>
          </w:tcPr>
          <w:p w14:paraId="04F8F6E8">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劳动通识教育</w:t>
            </w:r>
          </w:p>
        </w:tc>
        <w:tc>
          <w:tcPr>
            <w:tcW w:w="1784" w:type="dxa"/>
            <w:shd w:val="clear" w:color="auto" w:fill="FFFFFF"/>
            <w:vAlign w:val="center"/>
          </w:tcPr>
          <w:p w14:paraId="5E24C665">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33" w:type="dxa"/>
            <w:shd w:val="clear" w:color="auto" w:fill="FFFFFF"/>
            <w:vAlign w:val="center"/>
          </w:tcPr>
          <w:p w14:paraId="43DBFFA9">
            <w:pPr>
              <w:pStyle w:val="12"/>
              <w:ind w:firstLine="0" w:firstLineChars="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强化劳动精神、工匠精神，指导劳动实践，将德智体美劳全面发展的高素质劳动者作为课程培养目标。</w:t>
            </w:r>
          </w:p>
        </w:tc>
      </w:tr>
      <w:tr w14:paraId="485F1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247" w:type="dxa"/>
            <w:vMerge w:val="restart"/>
            <w:shd w:val="clear" w:color="auto" w:fill="FFFFFF"/>
            <w:vAlign w:val="center"/>
          </w:tcPr>
          <w:p w14:paraId="16AEBED3">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文化传承与人文素养</w:t>
            </w:r>
          </w:p>
        </w:tc>
        <w:tc>
          <w:tcPr>
            <w:tcW w:w="2152" w:type="dxa"/>
            <w:shd w:val="clear" w:color="auto" w:fill="FFFFFF"/>
            <w:vAlign w:val="center"/>
          </w:tcPr>
          <w:p w14:paraId="48DB6970">
            <w:pPr>
              <w:pStyle w:val="12"/>
              <w:rPr>
                <w:rFonts w:hint="eastAsia" w:ascii="方正仿宋_GB2312" w:hAnsi="方正仿宋_GB2312" w:eastAsia="方正仿宋_GB2312" w:cs="方正仿宋_GB2312"/>
                <w:sz w:val="21"/>
                <w:szCs w:val="21"/>
                <w:highlight w:val="yellow"/>
              </w:rPr>
            </w:pPr>
            <w:r>
              <w:rPr>
                <w:rFonts w:hint="eastAsia" w:ascii="方正仿宋_GB2312" w:hAnsi="方正仿宋_GB2312" w:eastAsia="方正仿宋_GB2312" w:cs="方正仿宋_GB2312"/>
                <w:sz w:val="21"/>
                <w:szCs w:val="21"/>
              </w:rPr>
              <w:t>大学语文</w:t>
            </w:r>
          </w:p>
        </w:tc>
        <w:tc>
          <w:tcPr>
            <w:tcW w:w="1784" w:type="dxa"/>
            <w:shd w:val="clear" w:color="auto" w:fill="FFFFFF"/>
            <w:vAlign w:val="center"/>
          </w:tcPr>
          <w:p w14:paraId="2468BDCA">
            <w:pPr>
              <w:pStyle w:val="12"/>
              <w:ind w:firstLine="0" w:firstLineChars="0"/>
              <w:jc w:val="center"/>
              <w:rPr>
                <w:rFonts w:hint="eastAsia" w:ascii="方正仿宋_GB2312" w:hAnsi="方正仿宋_GB2312" w:eastAsia="方正仿宋_GB2312" w:cs="方正仿宋_GB2312"/>
                <w:sz w:val="21"/>
                <w:szCs w:val="21"/>
                <w:highlight w:val="yellow"/>
              </w:rPr>
            </w:pPr>
            <w:r>
              <w:rPr>
                <w:rFonts w:hint="eastAsia" w:ascii="方正仿宋_GB2312" w:hAnsi="方正仿宋_GB2312" w:eastAsia="方正仿宋_GB2312" w:cs="方正仿宋_GB2312"/>
                <w:sz w:val="21"/>
                <w:szCs w:val="21"/>
              </w:rPr>
              <w:t>◆公共限选课</w:t>
            </w:r>
          </w:p>
        </w:tc>
        <w:tc>
          <w:tcPr>
            <w:tcW w:w="8433" w:type="dxa"/>
            <w:shd w:val="clear" w:color="auto" w:fill="FFFFFF"/>
            <w:vAlign w:val="center"/>
          </w:tcPr>
          <w:p w14:paraId="6145A887">
            <w:pPr>
              <w:rPr>
                <w:rFonts w:hint="eastAsia" w:ascii="方正仿宋_GB2312" w:hAnsi="方正仿宋_GB2312" w:eastAsia="方正仿宋_GB2312" w:cs="方正仿宋_GB2312"/>
                <w:sz w:val="21"/>
                <w:szCs w:val="21"/>
                <w:highlight w:val="yellow"/>
              </w:rPr>
            </w:pPr>
            <w:r>
              <w:rPr>
                <w:rFonts w:hint="eastAsia" w:ascii="方正仿宋_GB2312" w:hAnsi="方正仿宋_GB2312" w:eastAsia="方正仿宋_GB2312" w:cs="方正仿宋_GB2312"/>
                <w:sz w:val="21"/>
                <w:szCs w:val="21"/>
              </w:rPr>
              <w:t>培养学生听说读写母语应用能力、文学鉴赏能力与沟通表达、应用写作能力等通用职业能力，提升人文素养。</w:t>
            </w:r>
          </w:p>
        </w:tc>
      </w:tr>
      <w:tr w14:paraId="70A56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247" w:type="dxa"/>
            <w:vMerge w:val="continue"/>
            <w:shd w:val="clear" w:color="auto" w:fill="FFFFFF"/>
            <w:vAlign w:val="center"/>
          </w:tcPr>
          <w:p w14:paraId="039EDEE2">
            <w:pPr>
              <w:pStyle w:val="12"/>
              <w:rPr>
                <w:rFonts w:hint="eastAsia" w:ascii="方正仿宋_GB2312" w:hAnsi="方正仿宋_GB2312" w:eastAsia="方正仿宋_GB2312" w:cs="方正仿宋_GB2312"/>
                <w:sz w:val="21"/>
                <w:szCs w:val="21"/>
              </w:rPr>
            </w:pPr>
          </w:p>
        </w:tc>
        <w:tc>
          <w:tcPr>
            <w:tcW w:w="2152" w:type="dxa"/>
            <w:shd w:val="clear" w:color="auto" w:fill="FFFFFF"/>
            <w:vAlign w:val="center"/>
          </w:tcPr>
          <w:p w14:paraId="00D926F3">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公共英语1</w:t>
            </w:r>
          </w:p>
        </w:tc>
        <w:tc>
          <w:tcPr>
            <w:tcW w:w="1784" w:type="dxa"/>
            <w:shd w:val="clear" w:color="auto" w:fill="FFFFFF"/>
            <w:vAlign w:val="center"/>
          </w:tcPr>
          <w:p w14:paraId="25B7D726">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w:t>
            </w:r>
          </w:p>
        </w:tc>
        <w:tc>
          <w:tcPr>
            <w:tcW w:w="8433" w:type="dxa"/>
            <w:shd w:val="clear" w:color="auto" w:fill="FFFFFF"/>
            <w:vAlign w:val="center"/>
          </w:tcPr>
          <w:p w14:paraId="18C5A05B">
            <w:pP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通过课程学习，培养学生在工作和社会交往中用英语有效地进行口头和书面信息交流；同时增强其自主学习能力、跨文化交际能力及综合文化素养，培养其逻辑思维能力、主动学习的意识和合作精神。</w:t>
            </w:r>
          </w:p>
        </w:tc>
      </w:tr>
      <w:tr w14:paraId="55D18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trPr>
        <w:tc>
          <w:tcPr>
            <w:tcW w:w="1247" w:type="dxa"/>
            <w:vMerge w:val="continue"/>
            <w:shd w:val="clear" w:color="auto" w:fill="FFFFFF"/>
            <w:vAlign w:val="center"/>
          </w:tcPr>
          <w:p w14:paraId="15C5B2C3">
            <w:pPr>
              <w:pStyle w:val="12"/>
              <w:rPr>
                <w:rFonts w:hint="eastAsia" w:ascii="方正仿宋_GB2312" w:hAnsi="方正仿宋_GB2312" w:eastAsia="方正仿宋_GB2312" w:cs="方正仿宋_GB2312"/>
                <w:sz w:val="21"/>
                <w:szCs w:val="21"/>
              </w:rPr>
            </w:pPr>
          </w:p>
        </w:tc>
        <w:tc>
          <w:tcPr>
            <w:tcW w:w="2152" w:type="dxa"/>
            <w:shd w:val="clear" w:color="auto" w:fill="FFFFFF"/>
            <w:vAlign w:val="center"/>
          </w:tcPr>
          <w:p w14:paraId="5C67921E">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公共英语2</w:t>
            </w:r>
          </w:p>
          <w:p w14:paraId="0C5D7A58">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（职业英语）</w:t>
            </w:r>
          </w:p>
        </w:tc>
        <w:tc>
          <w:tcPr>
            <w:tcW w:w="1784" w:type="dxa"/>
            <w:shd w:val="clear" w:color="auto" w:fill="FFFFFF"/>
            <w:vAlign w:val="center"/>
          </w:tcPr>
          <w:p w14:paraId="792B3597">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◆公共限选课</w:t>
            </w:r>
          </w:p>
        </w:tc>
        <w:tc>
          <w:tcPr>
            <w:tcW w:w="8433" w:type="dxa"/>
            <w:shd w:val="clear" w:color="auto" w:fill="FFFFFF"/>
            <w:vAlign w:val="center"/>
          </w:tcPr>
          <w:p w14:paraId="09B3E7D5">
            <w:pP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通过课程学习，培养学生在真实或模拟的情境中求职和进行职业活动的语言综合应用能力、跨文化交流能力、语言学习策略和职业素养，以满足中外职场环境下对英语应用型人才的需求。</w:t>
            </w:r>
          </w:p>
        </w:tc>
      </w:tr>
      <w:tr w14:paraId="31191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247" w:type="dxa"/>
            <w:vMerge w:val="continue"/>
            <w:shd w:val="clear" w:color="auto" w:fill="FFFFFF"/>
            <w:vAlign w:val="center"/>
          </w:tcPr>
          <w:p w14:paraId="6154F73B">
            <w:pPr>
              <w:pStyle w:val="12"/>
              <w:rPr>
                <w:rFonts w:hint="eastAsia" w:ascii="方正仿宋_GB2312" w:hAnsi="方正仿宋_GB2312" w:eastAsia="方正仿宋_GB2312" w:cs="方正仿宋_GB2312"/>
                <w:sz w:val="21"/>
                <w:szCs w:val="21"/>
              </w:rPr>
            </w:pPr>
          </w:p>
        </w:tc>
        <w:tc>
          <w:tcPr>
            <w:tcW w:w="2152" w:type="dxa"/>
            <w:shd w:val="clear" w:color="auto" w:fill="FFFFFF"/>
            <w:vAlign w:val="center"/>
          </w:tcPr>
          <w:p w14:paraId="139D7D82">
            <w:pPr>
              <w:pStyle w:val="12"/>
              <w:rPr>
                <w:rFonts w:hint="eastAsia" w:ascii="方正仿宋_GB2312" w:hAnsi="方正仿宋_GB2312" w:eastAsia="方正仿宋_GB2312" w:cs="方正仿宋_GB2312"/>
                <w:sz w:val="21"/>
                <w:szCs w:val="21"/>
                <w:highlight w:val="yellow"/>
              </w:rPr>
            </w:pPr>
            <w:r>
              <w:rPr>
                <w:rFonts w:hint="eastAsia" w:ascii="方正仿宋_GB2312" w:hAnsi="方正仿宋_GB2312" w:eastAsia="方正仿宋_GB2312" w:cs="方正仿宋_GB2312"/>
                <w:sz w:val="21"/>
                <w:szCs w:val="21"/>
              </w:rPr>
              <w:t>财经数学</w:t>
            </w:r>
          </w:p>
        </w:tc>
        <w:tc>
          <w:tcPr>
            <w:tcW w:w="1784" w:type="dxa"/>
            <w:shd w:val="clear" w:color="auto" w:fill="FFFFFF"/>
            <w:vAlign w:val="center"/>
          </w:tcPr>
          <w:p w14:paraId="1BE4AD5C">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◆公共限选课</w:t>
            </w:r>
          </w:p>
        </w:tc>
        <w:tc>
          <w:tcPr>
            <w:tcW w:w="8433" w:type="dxa"/>
            <w:shd w:val="clear" w:color="auto" w:fill="FFFFFF"/>
            <w:vAlign w:val="center"/>
          </w:tcPr>
          <w:p w14:paraId="2EDB60B0">
            <w:pP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通过课程学习，提高学生的数学素养和解决实际问题的能力，达到学业、职业、素养等方面的提升。（财经类专业）</w:t>
            </w:r>
          </w:p>
        </w:tc>
      </w:tr>
      <w:tr w14:paraId="19336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1247" w:type="dxa"/>
            <w:vMerge w:val="continue"/>
            <w:shd w:val="clear" w:color="auto" w:fill="FFFFFF"/>
            <w:vAlign w:val="center"/>
          </w:tcPr>
          <w:p w14:paraId="2AAB5CB8">
            <w:pPr>
              <w:pStyle w:val="12"/>
              <w:rPr>
                <w:rFonts w:hint="eastAsia" w:ascii="方正仿宋_GB2312" w:hAnsi="方正仿宋_GB2312" w:eastAsia="方正仿宋_GB2312" w:cs="方正仿宋_GB2312"/>
                <w:sz w:val="21"/>
                <w:szCs w:val="21"/>
              </w:rPr>
            </w:pPr>
          </w:p>
        </w:tc>
        <w:tc>
          <w:tcPr>
            <w:tcW w:w="2152" w:type="dxa"/>
            <w:shd w:val="clear" w:color="auto" w:fill="FFFFFF"/>
            <w:vAlign w:val="center"/>
          </w:tcPr>
          <w:p w14:paraId="0B10B64B">
            <w:pPr>
              <w:pStyle w:val="12"/>
              <w:ind w:firstLine="0" w:firstLineChars="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艺术赏析（美育教育）</w:t>
            </w:r>
          </w:p>
        </w:tc>
        <w:tc>
          <w:tcPr>
            <w:tcW w:w="1784" w:type="dxa"/>
            <w:shd w:val="clear" w:color="auto" w:fill="FFFFFF"/>
            <w:vAlign w:val="center"/>
          </w:tcPr>
          <w:p w14:paraId="1B2E1E9C">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◆公共限选课</w:t>
            </w:r>
          </w:p>
        </w:tc>
        <w:tc>
          <w:tcPr>
            <w:tcW w:w="8433" w:type="dxa"/>
            <w:shd w:val="clear" w:color="auto" w:fill="FFFFFF"/>
            <w:vAlign w:val="center"/>
          </w:tcPr>
          <w:p w14:paraId="53590576">
            <w:pP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本课程以提高学生审美和人文素养为目标，体现职业教育特点，将审美教育与职业技能教育充分结合，强化艺术实践，引导学生完善人格修养，增强文化创新意识，培养具有劳动精神、劳模精神、工匠精神的高素质技术技能人才。</w:t>
            </w:r>
          </w:p>
        </w:tc>
      </w:tr>
      <w:tr w14:paraId="71BDA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trPr>
        <w:tc>
          <w:tcPr>
            <w:tcW w:w="1247" w:type="dxa"/>
            <w:vMerge w:val="continue"/>
            <w:shd w:val="clear" w:color="auto" w:fill="FFFFFF"/>
            <w:vAlign w:val="center"/>
          </w:tcPr>
          <w:p w14:paraId="63417833">
            <w:pPr>
              <w:pStyle w:val="12"/>
              <w:rPr>
                <w:rFonts w:hint="eastAsia" w:ascii="方正仿宋_GB2312" w:hAnsi="方正仿宋_GB2312" w:eastAsia="方正仿宋_GB2312" w:cs="方正仿宋_GB2312"/>
                <w:sz w:val="21"/>
                <w:szCs w:val="21"/>
              </w:rPr>
            </w:pPr>
          </w:p>
        </w:tc>
        <w:tc>
          <w:tcPr>
            <w:tcW w:w="2152" w:type="dxa"/>
            <w:shd w:val="clear" w:color="auto" w:fill="FFFFFF"/>
            <w:vAlign w:val="center"/>
          </w:tcPr>
          <w:p w14:paraId="61AD1CF5">
            <w:pPr>
              <w:pStyle w:val="12"/>
              <w:ind w:firstLine="0" w:firstLineChars="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中华优秀传统文化</w:t>
            </w:r>
          </w:p>
        </w:tc>
        <w:tc>
          <w:tcPr>
            <w:tcW w:w="1784" w:type="dxa"/>
            <w:shd w:val="clear" w:color="auto" w:fill="FFFFFF"/>
            <w:vAlign w:val="center"/>
          </w:tcPr>
          <w:p w14:paraId="493CDA70">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◆公共限选课</w:t>
            </w:r>
          </w:p>
        </w:tc>
        <w:tc>
          <w:tcPr>
            <w:tcW w:w="8433" w:type="dxa"/>
            <w:shd w:val="clear" w:color="auto" w:fill="FFFFFF"/>
            <w:vAlign w:val="center"/>
          </w:tcPr>
          <w:p w14:paraId="3E94E90F">
            <w:pP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以中华优秀传统文化教学为基础和依托，探究中华优秀传统文化的本质、特性及其与现代化的关系，引导学生联系现实，深入思考，把传统文化知识的学习落实到发掘传统文化现实意义上去。课程旨在完善学生的知识结构，加强学生的人文素质教育，弘扬中华传统文化，培养民族自豪感和爱国主义精神，促进学生德技并修、全面发展。</w:t>
            </w:r>
          </w:p>
        </w:tc>
      </w:tr>
      <w:tr w14:paraId="72AE7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1247" w:type="dxa"/>
            <w:vMerge w:val="restart"/>
            <w:shd w:val="clear" w:color="auto" w:fill="FFFFFF"/>
            <w:vAlign w:val="center"/>
          </w:tcPr>
          <w:p w14:paraId="14AD6BEA">
            <w:pPr>
              <w:pStyle w:val="12"/>
              <w:ind w:firstLine="0" w:firstLineChars="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信息素养</w:t>
            </w:r>
          </w:p>
        </w:tc>
        <w:tc>
          <w:tcPr>
            <w:tcW w:w="2152" w:type="dxa"/>
            <w:shd w:val="clear" w:color="auto" w:fill="FFFFFF"/>
            <w:vAlign w:val="center"/>
          </w:tcPr>
          <w:p w14:paraId="5C11B1DE">
            <w:pPr>
              <w:pStyle w:val="12"/>
              <w:ind w:firstLine="0" w:firstLineChars="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计算机基础实训</w:t>
            </w:r>
          </w:p>
        </w:tc>
        <w:tc>
          <w:tcPr>
            <w:tcW w:w="1784" w:type="dxa"/>
            <w:shd w:val="clear" w:color="auto" w:fill="FFFFFF"/>
            <w:vAlign w:val="center"/>
          </w:tcPr>
          <w:p w14:paraId="2DE184E4">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33" w:type="dxa"/>
            <w:vMerge w:val="restart"/>
            <w:shd w:val="clear" w:color="auto" w:fill="FFFFFF"/>
            <w:vAlign w:val="center"/>
          </w:tcPr>
          <w:p w14:paraId="3FB3E03E">
            <w:pPr>
              <w:pStyle w:val="12"/>
              <w:ind w:firstLine="0" w:firstLineChars="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通过学习能够增强信息意识、提升计算思维、促进数字化创新与发展能力、树立正确的信息社会价值观和责任感，为其职业发展、终身学习和服务社会奠定基础。</w:t>
            </w:r>
          </w:p>
        </w:tc>
      </w:tr>
      <w:tr w14:paraId="5A2D9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1247" w:type="dxa"/>
            <w:vMerge w:val="continue"/>
            <w:shd w:val="clear" w:color="auto" w:fill="FFFFFF"/>
            <w:vAlign w:val="center"/>
          </w:tcPr>
          <w:p w14:paraId="29A331C8">
            <w:pPr>
              <w:pStyle w:val="12"/>
              <w:rPr>
                <w:rFonts w:hint="eastAsia" w:ascii="方正仿宋_GB2312" w:hAnsi="方正仿宋_GB2312" w:eastAsia="方正仿宋_GB2312" w:cs="方正仿宋_GB2312"/>
                <w:sz w:val="21"/>
                <w:szCs w:val="21"/>
              </w:rPr>
            </w:pPr>
          </w:p>
        </w:tc>
        <w:tc>
          <w:tcPr>
            <w:tcW w:w="2152" w:type="dxa"/>
            <w:shd w:val="clear" w:color="auto" w:fill="FFFFFF"/>
            <w:vAlign w:val="center"/>
          </w:tcPr>
          <w:p w14:paraId="74B98CE9">
            <w:pPr>
              <w:pStyle w:val="12"/>
              <w:ind w:firstLine="0" w:firstLineChars="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计算机基础</w:t>
            </w:r>
          </w:p>
        </w:tc>
        <w:tc>
          <w:tcPr>
            <w:tcW w:w="1784" w:type="dxa"/>
            <w:shd w:val="clear" w:color="auto" w:fill="FFFFFF"/>
            <w:vAlign w:val="center"/>
          </w:tcPr>
          <w:p w14:paraId="0D5FBCE3">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33" w:type="dxa"/>
            <w:vMerge w:val="continue"/>
            <w:shd w:val="clear" w:color="auto" w:fill="FFFFFF"/>
            <w:vAlign w:val="center"/>
          </w:tcPr>
          <w:p w14:paraId="2CDDF5DB">
            <w:pPr>
              <w:pStyle w:val="12"/>
              <w:rPr>
                <w:rFonts w:hint="eastAsia" w:ascii="方正仿宋_GB2312" w:hAnsi="方正仿宋_GB2312" w:eastAsia="方正仿宋_GB2312" w:cs="方正仿宋_GB2312"/>
                <w:sz w:val="21"/>
                <w:szCs w:val="21"/>
                <w:highlight w:val="yellow"/>
              </w:rPr>
            </w:pPr>
          </w:p>
        </w:tc>
      </w:tr>
      <w:tr w14:paraId="25AD1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1247" w:type="dxa"/>
            <w:vMerge w:val="restart"/>
            <w:shd w:val="clear" w:color="auto" w:fill="FFFFFF"/>
            <w:vAlign w:val="center"/>
          </w:tcPr>
          <w:p w14:paraId="2327CEA7">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国防教育与身心健康</w:t>
            </w:r>
          </w:p>
        </w:tc>
        <w:tc>
          <w:tcPr>
            <w:tcW w:w="2152" w:type="dxa"/>
            <w:shd w:val="clear" w:color="auto" w:fill="FFFFFF"/>
            <w:vAlign w:val="center"/>
          </w:tcPr>
          <w:p w14:paraId="492FB130">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体育1、2、3、4</w:t>
            </w:r>
          </w:p>
        </w:tc>
        <w:tc>
          <w:tcPr>
            <w:tcW w:w="1784" w:type="dxa"/>
            <w:shd w:val="clear" w:color="auto" w:fill="FFFFFF"/>
            <w:vAlign w:val="center"/>
          </w:tcPr>
          <w:p w14:paraId="45AD5415">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33" w:type="dxa"/>
            <w:shd w:val="clear" w:color="auto" w:fill="FFFFFF"/>
            <w:vAlign w:val="center"/>
          </w:tcPr>
          <w:p w14:paraId="257F74B6">
            <w:pP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采用系统的课堂教学与有组织的课外体育活动相结合的方式，传授体育的基本知识、技能和方法，增进学生身心健康、增强体质，提升综合职业能力，形成终身参与体育锻炼的良好习惯，提升学生职业素养。</w:t>
            </w:r>
          </w:p>
        </w:tc>
      </w:tr>
      <w:tr w14:paraId="14BEE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247" w:type="dxa"/>
            <w:vMerge w:val="continue"/>
            <w:shd w:val="clear" w:color="auto" w:fill="FFFFFF"/>
            <w:vAlign w:val="center"/>
          </w:tcPr>
          <w:p w14:paraId="7D5AE1A1">
            <w:pPr>
              <w:pStyle w:val="12"/>
              <w:rPr>
                <w:rFonts w:hint="eastAsia" w:ascii="方正仿宋_GB2312" w:hAnsi="方正仿宋_GB2312" w:eastAsia="方正仿宋_GB2312" w:cs="方正仿宋_GB2312"/>
                <w:sz w:val="21"/>
                <w:szCs w:val="21"/>
              </w:rPr>
            </w:pPr>
          </w:p>
        </w:tc>
        <w:tc>
          <w:tcPr>
            <w:tcW w:w="2152" w:type="dxa"/>
            <w:shd w:val="clear" w:color="auto" w:fill="FFFFFF"/>
            <w:vAlign w:val="center"/>
          </w:tcPr>
          <w:p w14:paraId="228ED500">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大学生心理健康</w:t>
            </w:r>
          </w:p>
        </w:tc>
        <w:tc>
          <w:tcPr>
            <w:tcW w:w="1784" w:type="dxa"/>
            <w:shd w:val="clear" w:color="auto" w:fill="FFFFFF"/>
            <w:vAlign w:val="center"/>
          </w:tcPr>
          <w:p w14:paraId="5C8E300C">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33" w:type="dxa"/>
            <w:shd w:val="clear" w:color="auto" w:fill="FFFFFF"/>
            <w:vAlign w:val="center"/>
          </w:tcPr>
          <w:p w14:paraId="55D62E66">
            <w:pPr>
              <w:pStyle w:val="12"/>
              <w:ind w:firstLine="0" w:firstLineChars="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旨在使学生明确心理健康的标准及意义，增强自我心理保健意识和心理危机预防意识，掌握并应用心理健康知识，培养自我认知能力、人际沟通能力、自我调节能力，切实提高心理素质，促进学生全面发展。</w:t>
            </w:r>
          </w:p>
        </w:tc>
      </w:tr>
      <w:tr w14:paraId="65B87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1247" w:type="dxa"/>
            <w:vMerge w:val="continue"/>
            <w:shd w:val="clear" w:color="auto" w:fill="FFFFFF"/>
            <w:vAlign w:val="center"/>
          </w:tcPr>
          <w:p w14:paraId="7B343C99">
            <w:pPr>
              <w:pStyle w:val="12"/>
              <w:rPr>
                <w:rFonts w:hint="eastAsia" w:ascii="方正仿宋_GB2312" w:hAnsi="方正仿宋_GB2312" w:eastAsia="方正仿宋_GB2312" w:cs="方正仿宋_GB2312"/>
                <w:sz w:val="21"/>
                <w:szCs w:val="21"/>
              </w:rPr>
            </w:pPr>
          </w:p>
        </w:tc>
        <w:tc>
          <w:tcPr>
            <w:tcW w:w="2152" w:type="dxa"/>
            <w:shd w:val="clear" w:color="auto" w:fill="FFFFFF"/>
            <w:vAlign w:val="center"/>
          </w:tcPr>
          <w:p w14:paraId="1E05B418">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军训技能</w:t>
            </w:r>
          </w:p>
        </w:tc>
        <w:tc>
          <w:tcPr>
            <w:tcW w:w="1784" w:type="dxa"/>
            <w:shd w:val="clear" w:color="auto" w:fill="FFFFFF"/>
            <w:vAlign w:val="center"/>
          </w:tcPr>
          <w:p w14:paraId="5BDAAF98">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33" w:type="dxa"/>
            <w:shd w:val="clear" w:color="auto" w:fill="FFFFFF"/>
            <w:vAlign w:val="center"/>
          </w:tcPr>
          <w:p w14:paraId="6F8F40DE">
            <w:pPr>
              <w:pStyle w:val="12"/>
              <w:ind w:firstLine="0" w:firstLineChars="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通过条令条例教育与训练、轻武器射击、战术、军事地形学、综合训练等项目的训练，增强学生的纪律性与凝聚力，提高身体素质，培养吃苦耐劳精神，增强团队合作意识。</w:t>
            </w:r>
          </w:p>
        </w:tc>
      </w:tr>
      <w:tr w14:paraId="28637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1247" w:type="dxa"/>
            <w:vMerge w:val="continue"/>
            <w:shd w:val="clear" w:color="auto" w:fill="FFFFFF"/>
            <w:vAlign w:val="center"/>
          </w:tcPr>
          <w:p w14:paraId="71ED3B07">
            <w:pPr>
              <w:pStyle w:val="12"/>
              <w:rPr>
                <w:rFonts w:hint="eastAsia" w:ascii="方正仿宋_GB2312" w:hAnsi="方正仿宋_GB2312" w:eastAsia="方正仿宋_GB2312" w:cs="方正仿宋_GB2312"/>
                <w:sz w:val="21"/>
                <w:szCs w:val="21"/>
              </w:rPr>
            </w:pPr>
          </w:p>
        </w:tc>
        <w:tc>
          <w:tcPr>
            <w:tcW w:w="2152" w:type="dxa"/>
            <w:shd w:val="clear" w:color="auto" w:fill="FFFFFF"/>
            <w:vAlign w:val="center"/>
          </w:tcPr>
          <w:p w14:paraId="34FE6A70">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军事理论</w:t>
            </w:r>
          </w:p>
        </w:tc>
        <w:tc>
          <w:tcPr>
            <w:tcW w:w="1784" w:type="dxa"/>
            <w:shd w:val="clear" w:color="auto" w:fill="FFFFFF"/>
            <w:vAlign w:val="center"/>
          </w:tcPr>
          <w:p w14:paraId="1F461DEF">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33" w:type="dxa"/>
            <w:shd w:val="clear" w:color="auto" w:fill="FFFFFF"/>
            <w:vAlign w:val="center"/>
          </w:tcPr>
          <w:p w14:paraId="5FF72C18">
            <w:pPr>
              <w:pStyle w:val="12"/>
              <w:ind w:firstLine="0" w:firstLineChars="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培养学生的思想政治觉悟，激发爱国热情，增强国防观念和国家安全意识；使学生掌握基本军事知识和技能，为中国人民解放军培养后备兵员和预备役军官、为国家培养社会主义事业的建设者和接班人打好基础。</w:t>
            </w:r>
          </w:p>
        </w:tc>
      </w:tr>
    </w:tbl>
    <w:p w14:paraId="0C1ED866">
      <w:pPr>
        <w:numPr>
          <w:ilvl w:val="0"/>
          <w:numId w:val="4"/>
        </w:numPr>
        <w:overflowPunct w:val="0"/>
        <w:adjustRightInd w:val="0"/>
        <w:spacing w:before="218" w:beforeLines="50" w:after="218" w:afterLines="50"/>
        <w:ind w:firstLine="640" w:firstLineChars="200"/>
        <w:rPr>
          <w:rFonts w:hint="eastAsia" w:ascii="仿宋" w:hAnsi="仿宋" w:eastAsia="仿宋" w:cs="仿宋"/>
          <w:szCs w:val="32"/>
        </w:rPr>
      </w:pPr>
      <w:r>
        <w:rPr>
          <w:rFonts w:hint="eastAsia" w:ascii="仿宋" w:hAnsi="仿宋" w:eastAsia="仿宋" w:cs="仿宋"/>
          <w:szCs w:val="32"/>
        </w:rPr>
        <w:t>专业（技能）课程</w:t>
      </w:r>
    </w:p>
    <w:p w14:paraId="16606972">
      <w:pPr>
        <w:overflowPunct w:val="0"/>
        <w:adjustRightInd w:val="0"/>
        <w:jc w:val="center"/>
        <w:rPr>
          <w:rFonts w:hint="eastAsia" w:ascii="仿宋" w:hAnsi="仿宋" w:eastAsia="仿宋" w:cs="仿宋"/>
          <w:szCs w:val="32"/>
        </w:rPr>
      </w:pPr>
      <w:r>
        <w:rPr>
          <w:rFonts w:hint="eastAsia" w:ascii="宋体" w:hAnsi="宋体" w:eastAsia="宋体" w:cs="宋体"/>
          <w:b/>
          <w:bCs/>
          <w:sz w:val="24"/>
        </w:rPr>
        <w:t>表4 专业（技能）课程设置表</w:t>
      </w:r>
    </w:p>
    <w:tbl>
      <w:tblPr>
        <w:tblStyle w:val="9"/>
        <w:tblW w:w="4807" w:type="pct"/>
        <w:tblInd w:w="2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6"/>
        <w:gridCol w:w="2143"/>
        <w:gridCol w:w="1772"/>
        <w:gridCol w:w="8456"/>
      </w:tblGrid>
      <w:tr w14:paraId="4B8D0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256" w:type="dxa"/>
            <w:shd w:val="clear" w:color="auto" w:fill="FFFFFF" w:themeFill="background1"/>
            <w:vAlign w:val="center"/>
          </w:tcPr>
          <w:p w14:paraId="0BB9EA39">
            <w:pPr>
              <w:pStyle w:val="12"/>
              <w:ind w:firstLine="0" w:firstLineChars="0"/>
              <w:jc w:val="center"/>
              <w:rPr>
                <w:rFonts w:hint="eastAsia" w:ascii="方正仿宋_GB2312" w:hAnsi="方正仿宋_GB2312" w:eastAsia="方正仿宋_GB2312" w:cs="方正仿宋_GB2312"/>
                <w:bCs/>
                <w:sz w:val="21"/>
                <w:szCs w:val="21"/>
              </w:rPr>
            </w:pPr>
            <w:r>
              <w:rPr>
                <w:rFonts w:hint="eastAsia" w:ascii="方正仿宋_GB2312" w:hAnsi="方正仿宋_GB2312" w:eastAsia="方正仿宋_GB2312" w:cs="方正仿宋_GB2312"/>
                <w:b/>
                <w:sz w:val="21"/>
                <w:szCs w:val="21"/>
              </w:rPr>
              <w:t>课程模块</w:t>
            </w:r>
          </w:p>
        </w:tc>
        <w:tc>
          <w:tcPr>
            <w:tcW w:w="2143" w:type="dxa"/>
            <w:shd w:val="clear" w:color="auto" w:fill="FFFFFF" w:themeFill="background1"/>
            <w:vAlign w:val="center"/>
          </w:tcPr>
          <w:p w14:paraId="765B3BD5">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b/>
                <w:sz w:val="21"/>
                <w:szCs w:val="21"/>
              </w:rPr>
              <w:t>课程名称</w:t>
            </w:r>
          </w:p>
        </w:tc>
        <w:tc>
          <w:tcPr>
            <w:tcW w:w="1772" w:type="dxa"/>
            <w:shd w:val="clear" w:color="auto" w:fill="FFFFFF" w:themeFill="background1"/>
            <w:vAlign w:val="center"/>
          </w:tcPr>
          <w:p w14:paraId="25136440">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b/>
                <w:sz w:val="21"/>
                <w:szCs w:val="21"/>
              </w:rPr>
              <w:t>课程性质</w:t>
            </w:r>
          </w:p>
        </w:tc>
        <w:tc>
          <w:tcPr>
            <w:tcW w:w="8457" w:type="dxa"/>
            <w:shd w:val="clear" w:color="auto" w:fill="FFFFFF" w:themeFill="background1"/>
            <w:vAlign w:val="center"/>
          </w:tcPr>
          <w:p w14:paraId="73F9A71D">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b/>
                <w:sz w:val="21"/>
                <w:szCs w:val="21"/>
              </w:rPr>
              <w:t>课程目标</w:t>
            </w:r>
          </w:p>
        </w:tc>
      </w:tr>
      <w:tr w14:paraId="41AF3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1256" w:type="dxa"/>
            <w:vMerge w:val="restart"/>
            <w:shd w:val="clear" w:color="auto" w:fill="FFFFFF" w:themeFill="background1"/>
            <w:vAlign w:val="center"/>
          </w:tcPr>
          <w:p w14:paraId="7C95D2D0">
            <w:pPr>
              <w:pStyle w:val="12"/>
              <w:ind w:firstLine="0" w:firstLineChars="0"/>
              <w:jc w:val="center"/>
              <w:rPr>
                <w:rFonts w:hint="eastAsia" w:ascii="方正仿宋_GB2312" w:hAnsi="方正仿宋_GB2312" w:eastAsia="方正仿宋_GB2312" w:cs="方正仿宋_GB2312"/>
                <w:bCs/>
                <w:sz w:val="21"/>
                <w:szCs w:val="21"/>
              </w:rPr>
            </w:pPr>
            <w:r>
              <w:rPr>
                <w:rFonts w:hint="eastAsia" w:ascii="方正仿宋_GB2312" w:hAnsi="方正仿宋_GB2312" w:eastAsia="方正仿宋_GB2312" w:cs="方正仿宋_GB2312"/>
                <w:bCs/>
                <w:sz w:val="21"/>
                <w:szCs w:val="21"/>
              </w:rPr>
              <w:t>专业基础课</w:t>
            </w:r>
          </w:p>
        </w:tc>
        <w:tc>
          <w:tcPr>
            <w:tcW w:w="2143" w:type="dxa"/>
            <w:shd w:val="clear" w:color="auto" w:fill="FFFFFF" w:themeFill="background1"/>
            <w:vAlign w:val="center"/>
          </w:tcPr>
          <w:p w14:paraId="1AC57BB0">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民航概论</w:t>
            </w:r>
          </w:p>
        </w:tc>
        <w:tc>
          <w:tcPr>
            <w:tcW w:w="1772" w:type="dxa"/>
            <w:shd w:val="clear" w:color="auto" w:fill="FFFFFF" w:themeFill="background1"/>
            <w:vAlign w:val="center"/>
          </w:tcPr>
          <w:p w14:paraId="2526C7CF">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57" w:type="dxa"/>
            <w:shd w:val="clear" w:color="auto" w:fill="FFFFFF" w:themeFill="background1"/>
            <w:vAlign w:val="center"/>
          </w:tcPr>
          <w:p w14:paraId="5BCC24DE">
            <w:pPr>
              <w:pStyle w:val="12"/>
              <w:ind w:firstLine="0" w:firstLineChars="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本课程的主要任务是使学生具备从事航空服务岗位所必须的基础理论和知识，通过讲授、任务驱动、合作学习、案例教学等多样化的教学过程，加强学生专业能力、方法能力和社会能力的培养，达到促进学生专业综合素质的提升的目的，真正培养民航领域高素质技术技能人才。</w:t>
            </w:r>
          </w:p>
        </w:tc>
      </w:tr>
      <w:tr w14:paraId="15CBE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1256" w:type="dxa"/>
            <w:vMerge w:val="continue"/>
            <w:shd w:val="clear" w:color="auto" w:fill="FFFFFF" w:themeFill="background1"/>
            <w:vAlign w:val="center"/>
          </w:tcPr>
          <w:p w14:paraId="7AA66644">
            <w:pPr>
              <w:pStyle w:val="12"/>
              <w:ind w:firstLine="0" w:firstLineChars="0"/>
              <w:jc w:val="center"/>
              <w:rPr>
                <w:rFonts w:hint="eastAsia" w:ascii="方正仿宋_GB2312" w:hAnsi="方正仿宋_GB2312" w:eastAsia="方正仿宋_GB2312" w:cs="方正仿宋_GB2312"/>
                <w:sz w:val="21"/>
                <w:szCs w:val="21"/>
              </w:rPr>
            </w:pPr>
          </w:p>
        </w:tc>
        <w:tc>
          <w:tcPr>
            <w:tcW w:w="2143" w:type="dxa"/>
            <w:shd w:val="clear" w:color="auto" w:fill="FFFFFF" w:themeFill="background1"/>
            <w:vAlign w:val="center"/>
          </w:tcPr>
          <w:p w14:paraId="5CAE3FCE">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民航旅客运输</w:t>
            </w:r>
          </w:p>
        </w:tc>
        <w:tc>
          <w:tcPr>
            <w:tcW w:w="1772" w:type="dxa"/>
            <w:shd w:val="clear" w:color="auto" w:fill="FFFFFF" w:themeFill="background1"/>
            <w:vAlign w:val="center"/>
          </w:tcPr>
          <w:p w14:paraId="23D29A7A">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57" w:type="dxa"/>
            <w:shd w:val="clear" w:color="auto" w:fill="FFFFFF" w:themeFill="background1"/>
            <w:vAlign w:val="center"/>
          </w:tcPr>
          <w:p w14:paraId="617D0F96">
            <w:pPr>
              <w:pStyle w:val="12"/>
              <w:ind w:firstLine="0" w:firstLineChars="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shd w:val="clear" w:color="auto" w:fill="FFFFFF"/>
              </w:rPr>
              <w:t>旨在帮助学生了解民航旅客运输的基础知识和技能操作，为学生以后深入学习民航旅客运输相关的其他专业课程打下基础。同时别注重学生解决实际问题的能力和思维的开发，以为其将来更好地胜任民航相关工作打下坚实基础。</w:t>
            </w:r>
          </w:p>
        </w:tc>
      </w:tr>
      <w:tr w14:paraId="22C68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1256" w:type="dxa"/>
            <w:vMerge w:val="continue"/>
            <w:shd w:val="clear" w:color="auto" w:fill="FFFFFF" w:themeFill="background1"/>
            <w:vAlign w:val="center"/>
          </w:tcPr>
          <w:p w14:paraId="49BB6ABC">
            <w:pPr>
              <w:pStyle w:val="12"/>
              <w:ind w:firstLine="0" w:firstLineChars="0"/>
              <w:jc w:val="center"/>
              <w:rPr>
                <w:rFonts w:hint="eastAsia" w:ascii="方正仿宋_GB2312" w:hAnsi="方正仿宋_GB2312" w:eastAsia="方正仿宋_GB2312" w:cs="方正仿宋_GB2312"/>
                <w:sz w:val="21"/>
                <w:szCs w:val="21"/>
              </w:rPr>
            </w:pPr>
          </w:p>
        </w:tc>
        <w:tc>
          <w:tcPr>
            <w:tcW w:w="2143" w:type="dxa"/>
            <w:shd w:val="clear" w:color="auto" w:fill="FFFFFF" w:themeFill="background1"/>
            <w:vAlign w:val="center"/>
          </w:tcPr>
          <w:p w14:paraId="35FA8C08">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民航法律法规</w:t>
            </w:r>
          </w:p>
        </w:tc>
        <w:tc>
          <w:tcPr>
            <w:tcW w:w="1772" w:type="dxa"/>
            <w:shd w:val="clear" w:color="auto" w:fill="FFFFFF" w:themeFill="background1"/>
            <w:vAlign w:val="center"/>
          </w:tcPr>
          <w:p w14:paraId="67DAF1A9">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57" w:type="dxa"/>
            <w:shd w:val="clear" w:color="auto" w:fill="FFFFFF" w:themeFill="background1"/>
            <w:vAlign w:val="center"/>
          </w:tcPr>
          <w:p w14:paraId="5575C9AB">
            <w:pPr>
              <w:pStyle w:val="12"/>
              <w:ind w:firstLine="0" w:firstLineChars="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shd w:val="clear" w:color="auto" w:fill="FFFFFF"/>
              </w:rPr>
              <w:t>介绍了民航领域的法律法规知识，具体内容包括民航法概述、空中航行法律制度、民用航空器管理法律制度、民用航空人员管理法律制度、民用机场与出入境管理法律制度、民用航空运输管理与运输合同法律制度、民用航空保险法律制度、民用航空器的搜寻援救及事故调查、民用航空犯罪和刑法。</w:t>
            </w:r>
          </w:p>
        </w:tc>
      </w:tr>
      <w:tr w14:paraId="47847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1256" w:type="dxa"/>
            <w:vMerge w:val="continue"/>
            <w:shd w:val="clear" w:color="auto" w:fill="FFFFFF" w:themeFill="background1"/>
            <w:vAlign w:val="center"/>
          </w:tcPr>
          <w:p w14:paraId="352F4776">
            <w:pPr>
              <w:pStyle w:val="12"/>
              <w:ind w:firstLine="0" w:firstLineChars="0"/>
              <w:jc w:val="center"/>
              <w:rPr>
                <w:rFonts w:hint="eastAsia" w:ascii="方正仿宋_GB2312" w:hAnsi="方正仿宋_GB2312" w:eastAsia="方正仿宋_GB2312" w:cs="方正仿宋_GB2312"/>
                <w:sz w:val="21"/>
                <w:szCs w:val="21"/>
              </w:rPr>
            </w:pPr>
          </w:p>
        </w:tc>
        <w:tc>
          <w:tcPr>
            <w:tcW w:w="2143" w:type="dxa"/>
            <w:shd w:val="clear" w:color="auto" w:fill="FFFFFF" w:themeFill="background1"/>
            <w:vAlign w:val="center"/>
          </w:tcPr>
          <w:p w14:paraId="71D5488A">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民航服务礼仪</w:t>
            </w:r>
          </w:p>
        </w:tc>
        <w:tc>
          <w:tcPr>
            <w:tcW w:w="1772" w:type="dxa"/>
            <w:shd w:val="clear" w:color="auto" w:fill="FFFFFF" w:themeFill="background1"/>
            <w:vAlign w:val="center"/>
          </w:tcPr>
          <w:p w14:paraId="1E4CCBB3">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57" w:type="dxa"/>
            <w:shd w:val="clear" w:color="auto" w:fill="FFFFFF" w:themeFill="background1"/>
            <w:vAlign w:val="center"/>
          </w:tcPr>
          <w:p w14:paraId="032F455B">
            <w:pPr>
              <w:pStyle w:val="12"/>
              <w:ind w:firstLine="0" w:firstLineChars="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shd w:val="clear" w:color="auto" w:fill="FFFFFF"/>
              </w:rPr>
              <w:t>介绍了与民航服务礼仪相关的知识，旨在提高学生的职业素养，强化学生的服务意识。体内容包括民航服务礼仪概述、民航服务形象礼仪、民航服务语言礼仪、民航地面服务礼仪、民航客舱服务礼仪、特殊旅客服务礼仪和民航外事礼仪。</w:t>
            </w:r>
          </w:p>
        </w:tc>
      </w:tr>
      <w:tr w14:paraId="4A494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256" w:type="dxa"/>
            <w:vMerge w:val="continue"/>
            <w:shd w:val="clear" w:color="auto" w:fill="FFFFFF" w:themeFill="background1"/>
            <w:vAlign w:val="center"/>
          </w:tcPr>
          <w:p w14:paraId="3FF48861">
            <w:pPr>
              <w:pStyle w:val="12"/>
              <w:ind w:firstLine="0" w:firstLineChars="0"/>
              <w:jc w:val="center"/>
              <w:rPr>
                <w:rFonts w:hint="eastAsia" w:ascii="方正仿宋_GB2312" w:hAnsi="方正仿宋_GB2312" w:eastAsia="方正仿宋_GB2312" w:cs="方正仿宋_GB2312"/>
                <w:bCs/>
                <w:sz w:val="21"/>
                <w:szCs w:val="21"/>
              </w:rPr>
            </w:pPr>
          </w:p>
        </w:tc>
        <w:tc>
          <w:tcPr>
            <w:tcW w:w="2143" w:type="dxa"/>
            <w:shd w:val="clear" w:color="auto" w:fill="FFFFFF" w:themeFill="background1"/>
            <w:vAlign w:val="center"/>
          </w:tcPr>
          <w:p w14:paraId="2320D5B8">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化妆与职业形象塑造</w:t>
            </w:r>
          </w:p>
        </w:tc>
        <w:tc>
          <w:tcPr>
            <w:tcW w:w="1772" w:type="dxa"/>
            <w:shd w:val="clear" w:color="auto" w:fill="FFFFFF" w:themeFill="background1"/>
            <w:vAlign w:val="center"/>
          </w:tcPr>
          <w:p w14:paraId="3DB3BD93">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57" w:type="dxa"/>
            <w:shd w:val="clear" w:color="auto" w:fill="FFFFFF" w:themeFill="background1"/>
            <w:vAlign w:val="center"/>
          </w:tcPr>
          <w:p w14:paraId="337C800D">
            <w:pPr>
              <w:pStyle w:val="12"/>
              <w:ind w:firstLine="0" w:firstLineChars="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shd w:val="clear" w:color="auto" w:fill="FFFFFF"/>
              </w:rPr>
              <w:t>结合民航服务人员的职业特点，介绍了民航服务人员的形象设计及化妆技巧。共分8个项目，具体内容包括形象设计概述、穿出职业风格、搭配合适发型、做好基础护肤、面部底妆技巧、局部彩妆技巧、面部矫正化妆及民航服务人员整体形象展示。通过学习这8个项目，让学生掌握工作服饰、生活服饰的搭配及工作妆容、日常妆容的画法。</w:t>
            </w:r>
          </w:p>
        </w:tc>
      </w:tr>
      <w:tr w14:paraId="3A7ED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256" w:type="dxa"/>
            <w:vMerge w:val="continue"/>
            <w:shd w:val="clear" w:color="auto" w:fill="FFFFFF" w:themeFill="background1"/>
            <w:vAlign w:val="center"/>
          </w:tcPr>
          <w:p w14:paraId="79869C6C">
            <w:pPr>
              <w:pStyle w:val="12"/>
              <w:ind w:firstLine="0" w:firstLineChars="0"/>
              <w:jc w:val="center"/>
              <w:rPr>
                <w:rFonts w:hint="eastAsia" w:ascii="方正仿宋_GB2312" w:hAnsi="方正仿宋_GB2312" w:eastAsia="方正仿宋_GB2312" w:cs="方正仿宋_GB2312"/>
                <w:bCs/>
                <w:sz w:val="21"/>
                <w:szCs w:val="21"/>
              </w:rPr>
            </w:pPr>
          </w:p>
        </w:tc>
        <w:tc>
          <w:tcPr>
            <w:tcW w:w="2143" w:type="dxa"/>
            <w:shd w:val="clear" w:color="auto" w:fill="FFFFFF" w:themeFill="background1"/>
            <w:vAlign w:val="center"/>
          </w:tcPr>
          <w:p w14:paraId="3C2BC33C">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形体训练</w:t>
            </w:r>
          </w:p>
        </w:tc>
        <w:tc>
          <w:tcPr>
            <w:tcW w:w="1772" w:type="dxa"/>
            <w:shd w:val="clear" w:color="auto" w:fill="FFFFFF" w:themeFill="background1"/>
            <w:vAlign w:val="center"/>
          </w:tcPr>
          <w:p w14:paraId="75EDB321">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57" w:type="dxa"/>
            <w:shd w:val="clear" w:color="auto" w:fill="FFFFFF" w:themeFill="background1"/>
            <w:vAlign w:val="center"/>
          </w:tcPr>
          <w:p w14:paraId="3AFDED21">
            <w:pPr>
              <w:pStyle w:val="12"/>
              <w:ind w:firstLine="0" w:firstLineChars="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shd w:val="clear" w:color="auto" w:fill="FFFFFF"/>
              </w:rPr>
              <w:t>介绍了形体训练的相关知识和训练方法，共分为6个项目，分别是绪论、民航服务人员身体基本姿态训练、民航服务人员不良形体矫正训练、民航服务人员形体素质训练、民航服务人员形体基础综合训练和民航服务人员形体强化综合训练。每个项目均由若干个任务组成，力求为大学生提供系统、实用的形体训练方法，指导并帮助大学生塑造良好的个人形象。</w:t>
            </w:r>
          </w:p>
        </w:tc>
      </w:tr>
      <w:tr w14:paraId="744CD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256" w:type="dxa"/>
            <w:vMerge w:val="continue"/>
            <w:shd w:val="clear" w:color="auto" w:fill="FFFFFF" w:themeFill="background1"/>
            <w:vAlign w:val="center"/>
          </w:tcPr>
          <w:p w14:paraId="2E8288B1">
            <w:pPr>
              <w:pStyle w:val="12"/>
              <w:ind w:firstLine="0" w:firstLineChars="0"/>
              <w:jc w:val="center"/>
              <w:rPr>
                <w:rFonts w:hint="eastAsia" w:ascii="方正仿宋_GB2312" w:hAnsi="方正仿宋_GB2312" w:eastAsia="方正仿宋_GB2312" w:cs="方正仿宋_GB2312"/>
                <w:bCs/>
                <w:sz w:val="21"/>
                <w:szCs w:val="21"/>
              </w:rPr>
            </w:pPr>
          </w:p>
        </w:tc>
        <w:tc>
          <w:tcPr>
            <w:tcW w:w="2143" w:type="dxa"/>
            <w:shd w:val="clear" w:color="auto" w:fill="FFFFFF" w:themeFill="background1"/>
            <w:vAlign w:val="center"/>
          </w:tcPr>
          <w:p w14:paraId="60C2C4B1">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航空运输地理</w:t>
            </w:r>
          </w:p>
        </w:tc>
        <w:tc>
          <w:tcPr>
            <w:tcW w:w="1772" w:type="dxa"/>
            <w:shd w:val="clear" w:color="auto" w:fill="FFFFFF" w:themeFill="background1"/>
            <w:vAlign w:val="center"/>
          </w:tcPr>
          <w:p w14:paraId="2B00A4B3">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57" w:type="dxa"/>
            <w:shd w:val="clear" w:color="auto" w:fill="FFFFFF" w:themeFill="background1"/>
            <w:vAlign w:val="center"/>
          </w:tcPr>
          <w:p w14:paraId="52BB3E2B">
            <w:pPr>
              <w:pStyle w:val="12"/>
              <w:ind w:firstLine="0" w:firstLineChars="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shd w:val="clear" w:color="auto" w:fill="FFFFFF"/>
              </w:rPr>
              <w:t>介绍了与航空运输地理相关的知识，共分5个项目，具体内容包括航空运输地理概论、航空运输布局构成元素、中国航空运输布局、国际航协及国际主要航线和世界航空运输区划。</w:t>
            </w:r>
          </w:p>
        </w:tc>
      </w:tr>
      <w:tr w14:paraId="34880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256" w:type="dxa"/>
            <w:vMerge w:val="continue"/>
            <w:shd w:val="clear" w:color="auto" w:fill="FFFFFF" w:themeFill="background1"/>
            <w:vAlign w:val="center"/>
          </w:tcPr>
          <w:p w14:paraId="43797D1D">
            <w:pPr>
              <w:pStyle w:val="12"/>
              <w:ind w:firstLine="0" w:firstLineChars="0"/>
              <w:jc w:val="center"/>
              <w:rPr>
                <w:rFonts w:hint="eastAsia" w:ascii="方正仿宋_GB2312" w:hAnsi="方正仿宋_GB2312" w:eastAsia="方正仿宋_GB2312" w:cs="方正仿宋_GB2312"/>
                <w:bCs/>
                <w:sz w:val="21"/>
                <w:szCs w:val="21"/>
              </w:rPr>
            </w:pPr>
          </w:p>
        </w:tc>
        <w:tc>
          <w:tcPr>
            <w:tcW w:w="2143" w:type="dxa"/>
            <w:shd w:val="clear" w:color="auto" w:fill="FFFFFF" w:themeFill="background1"/>
            <w:vAlign w:val="center"/>
          </w:tcPr>
          <w:p w14:paraId="26C1A8B7">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民航面试技巧</w:t>
            </w:r>
          </w:p>
        </w:tc>
        <w:tc>
          <w:tcPr>
            <w:tcW w:w="1772" w:type="dxa"/>
            <w:shd w:val="clear" w:color="auto" w:fill="FFFFFF" w:themeFill="background1"/>
            <w:vAlign w:val="center"/>
          </w:tcPr>
          <w:p w14:paraId="6E722C86">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57" w:type="dxa"/>
            <w:shd w:val="clear" w:color="auto" w:fill="FFFFFF" w:themeFill="background1"/>
            <w:vAlign w:val="center"/>
          </w:tcPr>
          <w:p w14:paraId="2D230BCA">
            <w:pPr>
              <w:pStyle w:val="12"/>
              <w:ind w:firstLine="0" w:firstLineChars="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shd w:val="clear" w:color="auto" w:fill="FFFFFF"/>
              </w:rPr>
              <w:t>从航空公司对人才的选拔标准出发，以求职者普遍关心的问题为主线，系统地阐述了民航求职面试时的相关技巧。共分为七章，具体内容包括民航面试入门、民航面试前的准备工作、民航面试中的礼仪、民航中文面试技巧、民航英文面试技巧、面试总结和民航服务职业认知。</w:t>
            </w:r>
          </w:p>
        </w:tc>
      </w:tr>
      <w:tr w14:paraId="06448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1256" w:type="dxa"/>
            <w:vMerge w:val="restart"/>
            <w:shd w:val="clear" w:color="auto" w:fill="FFFFFF" w:themeFill="background1"/>
            <w:vAlign w:val="center"/>
          </w:tcPr>
          <w:p w14:paraId="61C0679F">
            <w:pPr>
              <w:pStyle w:val="12"/>
              <w:ind w:firstLine="0" w:firstLineChars="0"/>
              <w:jc w:val="center"/>
              <w:rPr>
                <w:rFonts w:hint="eastAsia" w:ascii="方正仿宋_GB2312" w:hAnsi="方正仿宋_GB2312" w:eastAsia="方正仿宋_GB2312" w:cs="方正仿宋_GB2312"/>
                <w:bCs/>
                <w:sz w:val="21"/>
                <w:szCs w:val="21"/>
              </w:rPr>
            </w:pPr>
            <w:r>
              <w:rPr>
                <w:rFonts w:hint="eastAsia" w:ascii="方正仿宋_GB2312" w:hAnsi="方正仿宋_GB2312" w:eastAsia="方正仿宋_GB2312" w:cs="方正仿宋_GB2312"/>
                <w:bCs/>
                <w:sz w:val="21"/>
                <w:szCs w:val="21"/>
              </w:rPr>
              <w:t>专业核心课</w:t>
            </w:r>
          </w:p>
        </w:tc>
        <w:tc>
          <w:tcPr>
            <w:tcW w:w="2143" w:type="dxa"/>
            <w:shd w:val="clear" w:color="auto" w:fill="FFFFFF" w:themeFill="background1"/>
            <w:vAlign w:val="center"/>
          </w:tcPr>
          <w:p w14:paraId="2D543C1E">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民航服务心理学</w:t>
            </w:r>
          </w:p>
        </w:tc>
        <w:tc>
          <w:tcPr>
            <w:tcW w:w="1772" w:type="dxa"/>
            <w:shd w:val="clear" w:color="auto" w:fill="FFFFFF" w:themeFill="background1"/>
            <w:vAlign w:val="center"/>
          </w:tcPr>
          <w:p w14:paraId="13932052">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57" w:type="dxa"/>
            <w:shd w:val="clear" w:color="auto" w:fill="FFFFFF" w:themeFill="background1"/>
            <w:vAlign w:val="center"/>
          </w:tcPr>
          <w:p w14:paraId="0E4B9FF7">
            <w:pPr>
              <w:tabs>
                <w:tab w:val="left" w:pos="3705"/>
              </w:tabs>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本课程主要学习民航服务过程中旅客和服务人员的心理规律及行为，包括旅客的需要、旅客知觉、旅客个性、旅客情绪情感、旅客态度、旅客群体心理、旅客投诉心理等；服务人员如何进行自身心理健康管理如应对挫折、缓解工作压力等。</w:t>
            </w:r>
          </w:p>
        </w:tc>
      </w:tr>
      <w:tr w14:paraId="343E8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1256" w:type="dxa"/>
            <w:vMerge w:val="continue"/>
            <w:shd w:val="clear" w:color="auto" w:fill="FFFFFF" w:themeFill="background1"/>
            <w:vAlign w:val="center"/>
          </w:tcPr>
          <w:p w14:paraId="0DF11F55">
            <w:pPr>
              <w:pStyle w:val="12"/>
              <w:ind w:firstLine="0" w:firstLineChars="0"/>
              <w:jc w:val="center"/>
              <w:rPr>
                <w:rFonts w:hint="eastAsia" w:ascii="方正仿宋_GB2312" w:hAnsi="方正仿宋_GB2312" w:eastAsia="方正仿宋_GB2312" w:cs="方正仿宋_GB2312"/>
                <w:sz w:val="21"/>
                <w:szCs w:val="21"/>
              </w:rPr>
            </w:pPr>
          </w:p>
        </w:tc>
        <w:tc>
          <w:tcPr>
            <w:tcW w:w="2143" w:type="dxa"/>
            <w:shd w:val="clear" w:color="auto" w:fill="FFFFFF" w:themeFill="background1"/>
            <w:vAlign w:val="center"/>
          </w:tcPr>
          <w:p w14:paraId="764BB53A">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民航服务沟通技巧</w:t>
            </w:r>
          </w:p>
        </w:tc>
        <w:tc>
          <w:tcPr>
            <w:tcW w:w="1772" w:type="dxa"/>
            <w:shd w:val="clear" w:color="auto" w:fill="FFFFFF" w:themeFill="background1"/>
            <w:vAlign w:val="center"/>
          </w:tcPr>
          <w:p w14:paraId="5174587F">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57" w:type="dxa"/>
            <w:shd w:val="clear" w:color="auto" w:fill="FFFFFF" w:themeFill="background1"/>
            <w:vAlign w:val="center"/>
          </w:tcPr>
          <w:p w14:paraId="7773E5A9">
            <w:pPr>
              <w:tabs>
                <w:tab w:val="left" w:pos="3705"/>
              </w:tabs>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本课程主要掌握民航服务中的人际沟通技巧，包括如何与旅客有效沟通、特殊旅客服务沟通、倾听技巧、安抚与解释、投诉应对、语言表达技巧以及肢体动作技巧、内部沟通等。</w:t>
            </w:r>
          </w:p>
        </w:tc>
      </w:tr>
      <w:tr w14:paraId="7C073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1256" w:type="dxa"/>
            <w:vMerge w:val="continue"/>
            <w:shd w:val="clear" w:color="auto" w:fill="FFFFFF" w:themeFill="background1"/>
            <w:vAlign w:val="center"/>
          </w:tcPr>
          <w:p w14:paraId="5E26CB41">
            <w:pPr>
              <w:pStyle w:val="12"/>
              <w:ind w:firstLine="0" w:firstLineChars="0"/>
              <w:jc w:val="center"/>
              <w:rPr>
                <w:rFonts w:hint="eastAsia" w:ascii="方正仿宋_GB2312" w:hAnsi="方正仿宋_GB2312" w:eastAsia="方正仿宋_GB2312" w:cs="方正仿宋_GB2312"/>
                <w:sz w:val="21"/>
                <w:szCs w:val="21"/>
              </w:rPr>
            </w:pPr>
          </w:p>
        </w:tc>
        <w:tc>
          <w:tcPr>
            <w:tcW w:w="2143" w:type="dxa"/>
            <w:shd w:val="clear" w:color="auto" w:fill="FFFFFF" w:themeFill="background1"/>
            <w:vAlign w:val="center"/>
          </w:tcPr>
          <w:p w14:paraId="11506CDC">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客舱服务英语</w:t>
            </w:r>
          </w:p>
        </w:tc>
        <w:tc>
          <w:tcPr>
            <w:tcW w:w="1772" w:type="dxa"/>
            <w:shd w:val="clear" w:color="auto" w:fill="FFFFFF" w:themeFill="background1"/>
            <w:vAlign w:val="center"/>
          </w:tcPr>
          <w:p w14:paraId="556CEB25">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57" w:type="dxa"/>
            <w:shd w:val="clear" w:color="auto" w:fill="FFFFFF" w:themeFill="background1"/>
            <w:vAlign w:val="center"/>
          </w:tcPr>
          <w:p w14:paraId="4E85BF42">
            <w:pPr>
              <w:pStyle w:val="12"/>
              <w:ind w:firstLine="0" w:firstLineChars="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提高航空服务各岗位英语的听、说、写、交际能力，提高对外服务的能力，掌握航空服务中客运服务内容、货运服务内容、客舱服务内容、安全检查内容情境会话。</w:t>
            </w:r>
          </w:p>
        </w:tc>
      </w:tr>
      <w:tr w14:paraId="2FF00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1256" w:type="dxa"/>
            <w:vMerge w:val="continue"/>
            <w:shd w:val="clear" w:color="auto" w:fill="FFFFFF" w:themeFill="background1"/>
            <w:vAlign w:val="center"/>
          </w:tcPr>
          <w:p w14:paraId="3C0F1ABB">
            <w:pPr>
              <w:pStyle w:val="12"/>
              <w:ind w:firstLine="0" w:firstLineChars="0"/>
              <w:jc w:val="center"/>
              <w:rPr>
                <w:rFonts w:hint="eastAsia" w:ascii="方正仿宋_GB2312" w:hAnsi="方正仿宋_GB2312" w:eastAsia="方正仿宋_GB2312" w:cs="方正仿宋_GB2312"/>
                <w:sz w:val="21"/>
                <w:szCs w:val="21"/>
              </w:rPr>
            </w:pPr>
          </w:p>
        </w:tc>
        <w:tc>
          <w:tcPr>
            <w:tcW w:w="2143" w:type="dxa"/>
            <w:shd w:val="clear" w:color="auto" w:fill="FFFFFF" w:themeFill="background1"/>
            <w:vAlign w:val="center"/>
          </w:tcPr>
          <w:p w14:paraId="2A815393">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客舱设施与服务</w:t>
            </w:r>
          </w:p>
        </w:tc>
        <w:tc>
          <w:tcPr>
            <w:tcW w:w="1772" w:type="dxa"/>
            <w:shd w:val="clear" w:color="auto" w:fill="FFFFFF" w:themeFill="background1"/>
            <w:vAlign w:val="center"/>
          </w:tcPr>
          <w:p w14:paraId="3E6FE780">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57" w:type="dxa"/>
            <w:shd w:val="clear" w:color="auto" w:fill="FFFFFF" w:themeFill="background1"/>
            <w:vAlign w:val="center"/>
          </w:tcPr>
          <w:p w14:paraId="6610DCB5">
            <w:pPr>
              <w:tabs>
                <w:tab w:val="left" w:pos="3705"/>
              </w:tabs>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通过对飞行运行和客舱服务程序的学习，使学生了解航空公司飞行组织、飞行进程以及飞行与客舱服务的关系，掌握全面的客舱服务技能。了解乘务职业的起源和现状，掌握机组成员的调配和交流的方法和技巧，熟悉国际民航服务规范，掌握配餐、播报等基本操作技能。 </w:t>
            </w:r>
          </w:p>
        </w:tc>
      </w:tr>
      <w:tr w14:paraId="76E9C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256" w:type="dxa"/>
            <w:vMerge w:val="continue"/>
            <w:shd w:val="clear" w:color="auto" w:fill="FFFFFF" w:themeFill="background1"/>
            <w:vAlign w:val="center"/>
          </w:tcPr>
          <w:p w14:paraId="26A2EC34">
            <w:pPr>
              <w:pStyle w:val="12"/>
              <w:ind w:firstLine="0" w:firstLineChars="0"/>
              <w:jc w:val="center"/>
              <w:rPr>
                <w:rFonts w:hint="eastAsia" w:ascii="方正仿宋_GB2312" w:hAnsi="方正仿宋_GB2312" w:eastAsia="方正仿宋_GB2312" w:cs="方正仿宋_GB2312"/>
                <w:bCs/>
                <w:sz w:val="21"/>
                <w:szCs w:val="21"/>
              </w:rPr>
            </w:pPr>
          </w:p>
        </w:tc>
        <w:tc>
          <w:tcPr>
            <w:tcW w:w="2143" w:type="dxa"/>
            <w:shd w:val="clear" w:color="auto" w:fill="FFFFFF" w:themeFill="background1"/>
            <w:vAlign w:val="center"/>
          </w:tcPr>
          <w:p w14:paraId="534C5710">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客舱安全与应急处置</w:t>
            </w:r>
          </w:p>
        </w:tc>
        <w:tc>
          <w:tcPr>
            <w:tcW w:w="1772" w:type="dxa"/>
            <w:shd w:val="clear" w:color="auto" w:fill="FFFFFF" w:themeFill="background1"/>
            <w:vAlign w:val="center"/>
          </w:tcPr>
          <w:p w14:paraId="32B4E84A">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57" w:type="dxa"/>
            <w:shd w:val="clear" w:color="auto" w:fill="FFFFFF" w:themeFill="background1"/>
            <w:vAlign w:val="center"/>
          </w:tcPr>
          <w:p w14:paraId="614032CD">
            <w:pPr>
              <w:pStyle w:val="12"/>
              <w:ind w:firstLine="0" w:firstLineChars="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本课程主要学习客舱安全运行规则及不同飞行阶段的安全检查内容与重点；旅客行为不当、旅客非法行为、非正常旅客处理及劫机处置；应急设备的使用、应急处置的方法及不同机型、不同环境类型的陆地及水上撤离程序，野外生存知识。</w:t>
            </w:r>
          </w:p>
        </w:tc>
      </w:tr>
      <w:tr w14:paraId="4BEFA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256" w:type="dxa"/>
            <w:vMerge w:val="continue"/>
            <w:shd w:val="clear" w:color="auto" w:fill="FFFFFF" w:themeFill="background1"/>
            <w:vAlign w:val="center"/>
          </w:tcPr>
          <w:p w14:paraId="026DFDC5">
            <w:pPr>
              <w:pStyle w:val="12"/>
              <w:ind w:firstLine="0" w:firstLineChars="0"/>
              <w:jc w:val="center"/>
              <w:rPr>
                <w:rFonts w:hint="eastAsia" w:ascii="方正仿宋_GB2312" w:hAnsi="方正仿宋_GB2312" w:eastAsia="方正仿宋_GB2312" w:cs="方正仿宋_GB2312"/>
                <w:bCs/>
                <w:sz w:val="21"/>
                <w:szCs w:val="21"/>
              </w:rPr>
            </w:pPr>
          </w:p>
        </w:tc>
        <w:tc>
          <w:tcPr>
            <w:tcW w:w="2143" w:type="dxa"/>
            <w:shd w:val="clear" w:color="auto" w:fill="FFFFFF" w:themeFill="background1"/>
            <w:vAlign w:val="center"/>
          </w:tcPr>
          <w:p w14:paraId="50AD1F58">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民航客舱救护</w:t>
            </w:r>
          </w:p>
        </w:tc>
        <w:tc>
          <w:tcPr>
            <w:tcW w:w="1772" w:type="dxa"/>
            <w:shd w:val="clear" w:color="auto" w:fill="FFFFFF" w:themeFill="background1"/>
            <w:vAlign w:val="center"/>
          </w:tcPr>
          <w:p w14:paraId="1C985654">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57" w:type="dxa"/>
            <w:shd w:val="clear" w:color="auto" w:fill="FFFFFF" w:themeFill="background1"/>
            <w:vAlign w:val="center"/>
          </w:tcPr>
          <w:p w14:paraId="1B349974">
            <w:pPr>
              <w:tabs>
                <w:tab w:val="left" w:pos="3705"/>
              </w:tabs>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熟悉急救的基本知识和理论；掌握心肺复苏、急救包扎等现场救护技能；能灵活处理客舱内出现的晕机、压耳、心绞痛等急救症状。</w:t>
            </w:r>
          </w:p>
        </w:tc>
      </w:tr>
      <w:tr w14:paraId="497B1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256" w:type="dxa"/>
            <w:vMerge w:val="restart"/>
            <w:shd w:val="clear" w:color="auto" w:fill="FFFFFF" w:themeFill="background1"/>
            <w:vAlign w:val="center"/>
          </w:tcPr>
          <w:p w14:paraId="451239D4">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专业实践课</w:t>
            </w:r>
          </w:p>
          <w:p w14:paraId="674152CE">
            <w:pPr>
              <w:pStyle w:val="12"/>
              <w:ind w:firstLine="0" w:firstLineChars="0"/>
              <w:jc w:val="center"/>
              <w:rPr>
                <w:rFonts w:hint="eastAsia" w:ascii="方正仿宋_GB2312" w:hAnsi="方正仿宋_GB2312" w:eastAsia="方正仿宋_GB2312" w:cs="方正仿宋_GB2312"/>
                <w:bCs/>
                <w:sz w:val="21"/>
                <w:szCs w:val="21"/>
              </w:rPr>
            </w:pPr>
            <w:r>
              <w:rPr>
                <w:rFonts w:hint="eastAsia" w:ascii="方正仿宋_GB2312" w:hAnsi="方正仿宋_GB2312" w:eastAsia="方正仿宋_GB2312" w:cs="方正仿宋_GB2312"/>
                <w:sz w:val="21"/>
                <w:szCs w:val="21"/>
              </w:rPr>
              <w:t>(实践性教学环节)</w:t>
            </w:r>
          </w:p>
        </w:tc>
        <w:tc>
          <w:tcPr>
            <w:tcW w:w="2143" w:type="dxa"/>
            <w:shd w:val="clear" w:color="auto" w:fill="FFFFFF" w:themeFill="background1"/>
            <w:vAlign w:val="center"/>
          </w:tcPr>
          <w:p w14:paraId="50128C0A">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乘务礼仪实训</w:t>
            </w:r>
          </w:p>
        </w:tc>
        <w:tc>
          <w:tcPr>
            <w:tcW w:w="1772" w:type="dxa"/>
            <w:shd w:val="clear" w:color="auto" w:fill="FFFFFF" w:themeFill="background1"/>
            <w:vAlign w:val="center"/>
          </w:tcPr>
          <w:p w14:paraId="7293485A">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57" w:type="dxa"/>
            <w:shd w:val="clear" w:color="auto" w:fill="FFFFFF" w:themeFill="background1"/>
            <w:vAlign w:val="center"/>
          </w:tcPr>
          <w:p w14:paraId="174B940B">
            <w:pPr>
              <w:pStyle w:val="7"/>
              <w:widowControl/>
              <w:spacing w:beforeAutospacing="0" w:afterAutospacing="0" w:line="420" w:lineRule="atLeas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通过学习本门课程，使学生掌握一定礼仪知识，如心仪容、仪表、仪态、礼节等;更好地落实在生活和工作中。在学生掌握相关理论基础知识的前提下，通过服务礼仪实训，使学生灵活运用所学知识，提升相关技能，增强学习兴趣，熟悉并生活化礼仪相关技能知识，掌握如何处理生活和工作中有关礼仪的问题。 </w:t>
            </w:r>
          </w:p>
        </w:tc>
      </w:tr>
      <w:tr w14:paraId="3F3EA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256" w:type="dxa"/>
            <w:vMerge w:val="continue"/>
            <w:shd w:val="clear" w:color="auto" w:fill="FFFFFF" w:themeFill="background1"/>
            <w:vAlign w:val="center"/>
          </w:tcPr>
          <w:p w14:paraId="12B381CE">
            <w:pPr>
              <w:pStyle w:val="12"/>
              <w:ind w:firstLine="0" w:firstLineChars="0"/>
              <w:jc w:val="center"/>
              <w:rPr>
                <w:rFonts w:hint="eastAsia" w:ascii="方正仿宋_GB2312" w:hAnsi="方正仿宋_GB2312" w:eastAsia="方正仿宋_GB2312" w:cs="方正仿宋_GB2312"/>
                <w:bCs/>
                <w:sz w:val="21"/>
                <w:szCs w:val="21"/>
              </w:rPr>
            </w:pPr>
          </w:p>
        </w:tc>
        <w:tc>
          <w:tcPr>
            <w:tcW w:w="2143" w:type="dxa"/>
            <w:shd w:val="clear" w:color="auto" w:fill="FFFFFF" w:themeFill="background1"/>
            <w:vAlign w:val="center"/>
          </w:tcPr>
          <w:p w14:paraId="0B877A41">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客舱服务综合训练</w:t>
            </w:r>
          </w:p>
        </w:tc>
        <w:tc>
          <w:tcPr>
            <w:tcW w:w="1772" w:type="dxa"/>
            <w:shd w:val="clear" w:color="auto" w:fill="FFFFFF" w:themeFill="background1"/>
            <w:vAlign w:val="center"/>
          </w:tcPr>
          <w:p w14:paraId="6769CEDA">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57" w:type="dxa"/>
            <w:shd w:val="clear" w:color="auto" w:fill="FFFFFF" w:themeFill="background1"/>
            <w:vAlign w:val="center"/>
          </w:tcPr>
          <w:p w14:paraId="613166B9">
            <w:pPr>
              <w:pStyle w:val="12"/>
              <w:ind w:firstLine="0" w:firstLineChars="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通过任务引领和项目活动，使学生能掌握客舱服务的相关内容、服务技巧和相关理论知识，能初步完成客舱服务相关岗位的实际工作任务，培养学生具有诚实、守信、善于沟通和合作的品质，为成为一名合格的乘务人员奠定职业能力基础。</w:t>
            </w:r>
          </w:p>
        </w:tc>
      </w:tr>
      <w:tr w14:paraId="3BEE5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256" w:type="dxa"/>
            <w:vMerge w:val="continue"/>
            <w:shd w:val="clear" w:color="auto" w:fill="FFFFFF" w:themeFill="background1"/>
            <w:vAlign w:val="center"/>
          </w:tcPr>
          <w:p w14:paraId="616A32E2">
            <w:pPr>
              <w:pStyle w:val="12"/>
              <w:ind w:firstLine="0" w:firstLineChars="0"/>
              <w:jc w:val="center"/>
              <w:rPr>
                <w:rFonts w:hint="eastAsia" w:ascii="方正仿宋_GB2312" w:hAnsi="方正仿宋_GB2312" w:eastAsia="方正仿宋_GB2312" w:cs="方正仿宋_GB2312"/>
                <w:bCs/>
                <w:sz w:val="21"/>
                <w:szCs w:val="21"/>
              </w:rPr>
            </w:pPr>
          </w:p>
        </w:tc>
        <w:tc>
          <w:tcPr>
            <w:tcW w:w="2143" w:type="dxa"/>
            <w:shd w:val="clear" w:color="auto" w:fill="FFFFFF" w:themeFill="background1"/>
            <w:vAlign w:val="center"/>
          </w:tcPr>
          <w:p w14:paraId="422EEA68">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客舱设备操作训练</w:t>
            </w:r>
          </w:p>
        </w:tc>
        <w:tc>
          <w:tcPr>
            <w:tcW w:w="1772" w:type="dxa"/>
            <w:shd w:val="clear" w:color="auto" w:fill="FFFFFF" w:themeFill="background1"/>
            <w:vAlign w:val="center"/>
          </w:tcPr>
          <w:p w14:paraId="1CE37D9C">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57" w:type="dxa"/>
            <w:shd w:val="clear" w:color="auto" w:fill="FFFFFF" w:themeFill="background1"/>
            <w:vAlign w:val="center"/>
          </w:tcPr>
          <w:p w14:paraId="5E569DBD">
            <w:pPr>
              <w:pStyle w:val="12"/>
              <w:ind w:firstLine="0" w:firstLineChars="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旨在通过对空中乘务职业认识和熟悉、客舱服务过程及技巧的学习与实训，使学生了解乘务员职责，客舱服务的基本程序、内容、客舱长、短航线的服务操作方法，掌握基本服务技巧，学会与旅客的沟通与交流，胜任客舱乘务员的工作。</w:t>
            </w:r>
          </w:p>
        </w:tc>
      </w:tr>
      <w:tr w14:paraId="18F4A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256" w:type="dxa"/>
            <w:vMerge w:val="continue"/>
            <w:shd w:val="clear" w:color="auto" w:fill="FFFFFF" w:themeFill="background1"/>
            <w:vAlign w:val="center"/>
          </w:tcPr>
          <w:p w14:paraId="4121CC26">
            <w:pPr>
              <w:pStyle w:val="12"/>
              <w:ind w:firstLine="0" w:firstLineChars="0"/>
              <w:jc w:val="center"/>
              <w:rPr>
                <w:rFonts w:hint="eastAsia" w:ascii="方正仿宋_GB2312" w:hAnsi="方正仿宋_GB2312" w:eastAsia="方正仿宋_GB2312" w:cs="方正仿宋_GB2312"/>
                <w:bCs/>
                <w:sz w:val="21"/>
                <w:szCs w:val="21"/>
              </w:rPr>
            </w:pPr>
          </w:p>
        </w:tc>
        <w:tc>
          <w:tcPr>
            <w:tcW w:w="2143" w:type="dxa"/>
            <w:shd w:val="clear" w:color="auto" w:fill="FFFFFF" w:themeFill="background1"/>
            <w:vAlign w:val="center"/>
          </w:tcPr>
          <w:p w14:paraId="48A1A58C">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客舱应急处置与逃生训练</w:t>
            </w:r>
          </w:p>
        </w:tc>
        <w:tc>
          <w:tcPr>
            <w:tcW w:w="1772" w:type="dxa"/>
            <w:shd w:val="clear" w:color="auto" w:fill="FFFFFF" w:themeFill="background1"/>
            <w:vAlign w:val="center"/>
          </w:tcPr>
          <w:p w14:paraId="7C58BA3B">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必修课</w:t>
            </w:r>
          </w:p>
        </w:tc>
        <w:tc>
          <w:tcPr>
            <w:tcW w:w="8457" w:type="dxa"/>
            <w:shd w:val="clear" w:color="auto" w:fill="FFFFFF" w:themeFill="background1"/>
            <w:vAlign w:val="center"/>
          </w:tcPr>
          <w:p w14:paraId="72ED697C">
            <w:pPr>
              <w:pStyle w:val="12"/>
              <w:ind w:firstLine="0" w:firstLineChars="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是一门应用性、实践性、灵活性非常强的课程。通过学习本门课程，使学生掌握一定安全应急相关专业知识，如心肺复苏、伤口包扎。在学生掌握相关理论基础知识的前提下，通过安全应急处置实训，使学生灵活运用所学知识，提升相关技能，增强学习兴趣，熟悉安全应急相关技能知识，掌握如何进行应急抢救与处置。</w:t>
            </w:r>
          </w:p>
        </w:tc>
      </w:tr>
      <w:tr w14:paraId="24DEC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256" w:type="dxa"/>
            <w:vMerge w:val="restart"/>
            <w:shd w:val="clear" w:color="auto" w:fill="FFFFFF" w:themeFill="background1"/>
            <w:vAlign w:val="center"/>
          </w:tcPr>
          <w:p w14:paraId="7C4CE104">
            <w:pPr>
              <w:pStyle w:val="12"/>
              <w:ind w:firstLine="0" w:firstLineChars="0"/>
              <w:jc w:val="center"/>
              <w:rPr>
                <w:rFonts w:hint="eastAsia" w:ascii="方正仿宋_GB2312" w:hAnsi="方正仿宋_GB2312" w:eastAsia="方正仿宋_GB2312" w:cs="方正仿宋_GB2312"/>
                <w:bCs/>
                <w:sz w:val="21"/>
                <w:szCs w:val="21"/>
              </w:rPr>
            </w:pPr>
            <w:r>
              <w:rPr>
                <w:rFonts w:hint="eastAsia" w:ascii="方正仿宋_GB2312" w:hAnsi="方正仿宋_GB2312" w:eastAsia="方正仿宋_GB2312" w:cs="方正仿宋_GB2312"/>
                <w:bCs/>
                <w:sz w:val="21"/>
                <w:szCs w:val="21"/>
              </w:rPr>
              <w:t>专业拓展课</w:t>
            </w:r>
          </w:p>
          <w:p w14:paraId="2C614D24">
            <w:pPr>
              <w:pStyle w:val="12"/>
              <w:ind w:firstLine="0" w:firstLineChars="0"/>
              <w:jc w:val="center"/>
              <w:rPr>
                <w:rFonts w:hint="eastAsia" w:ascii="方正仿宋_GB2312" w:hAnsi="方正仿宋_GB2312" w:eastAsia="方正仿宋_GB2312" w:cs="方正仿宋_GB2312"/>
                <w:bCs/>
                <w:sz w:val="21"/>
                <w:szCs w:val="21"/>
              </w:rPr>
            </w:pPr>
            <w:r>
              <w:rPr>
                <w:rFonts w:hint="eastAsia" w:ascii="方正仿宋_GB2312" w:hAnsi="方正仿宋_GB2312" w:eastAsia="方正仿宋_GB2312" w:cs="方正仿宋_GB2312"/>
                <w:bCs/>
                <w:sz w:val="21"/>
                <w:szCs w:val="21"/>
              </w:rPr>
              <w:t>（专业选修课）</w:t>
            </w:r>
          </w:p>
        </w:tc>
        <w:tc>
          <w:tcPr>
            <w:tcW w:w="2143" w:type="dxa"/>
            <w:shd w:val="clear" w:color="auto" w:fill="FFFFFF" w:themeFill="background1"/>
            <w:vAlign w:val="center"/>
          </w:tcPr>
          <w:p w14:paraId="2BD92D21">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航空安全管理</w:t>
            </w:r>
          </w:p>
        </w:tc>
        <w:tc>
          <w:tcPr>
            <w:tcW w:w="1772" w:type="dxa"/>
            <w:shd w:val="clear" w:color="auto" w:fill="FFFFFF" w:themeFill="background1"/>
            <w:vAlign w:val="center"/>
          </w:tcPr>
          <w:p w14:paraId="45A516AA">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选修课</w:t>
            </w:r>
          </w:p>
        </w:tc>
        <w:tc>
          <w:tcPr>
            <w:tcW w:w="8457" w:type="dxa"/>
            <w:shd w:val="clear" w:color="auto" w:fill="FFFFFF" w:themeFill="background1"/>
            <w:vAlign w:val="center"/>
          </w:tcPr>
          <w:p w14:paraId="69636321">
            <w:pPr>
              <w:pStyle w:val="12"/>
              <w:ind w:firstLine="0" w:firstLineChars="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shd w:val="clear" w:color="auto" w:fill="FFFFFF"/>
              </w:rPr>
              <w:t>在系统介绍民航安全管理基本知识的基础上，着重介绍了公共航空运输安全管理、民用机场安全管理、民航空中交通安全管理、航空维修安全与安保管理及民航应急管理。</w:t>
            </w:r>
          </w:p>
        </w:tc>
      </w:tr>
      <w:tr w14:paraId="7A49D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256" w:type="dxa"/>
            <w:vMerge w:val="continue"/>
            <w:shd w:val="clear" w:color="auto" w:fill="FFFFFF" w:themeFill="background1"/>
            <w:vAlign w:val="center"/>
          </w:tcPr>
          <w:p w14:paraId="12915D6C">
            <w:pPr>
              <w:pStyle w:val="12"/>
              <w:ind w:firstLine="0" w:firstLineChars="0"/>
              <w:jc w:val="center"/>
              <w:rPr>
                <w:rFonts w:hint="eastAsia" w:ascii="方正仿宋_GB2312" w:hAnsi="方正仿宋_GB2312" w:eastAsia="方正仿宋_GB2312" w:cs="方正仿宋_GB2312"/>
                <w:bCs/>
                <w:sz w:val="21"/>
                <w:szCs w:val="21"/>
              </w:rPr>
            </w:pPr>
          </w:p>
        </w:tc>
        <w:tc>
          <w:tcPr>
            <w:tcW w:w="2143" w:type="dxa"/>
            <w:shd w:val="clear" w:color="auto" w:fill="FFFFFF" w:themeFill="background1"/>
            <w:vAlign w:val="center"/>
          </w:tcPr>
          <w:p w14:paraId="6DB9AB09">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航空餐饮服务与管理</w:t>
            </w:r>
          </w:p>
        </w:tc>
        <w:tc>
          <w:tcPr>
            <w:tcW w:w="1772" w:type="dxa"/>
            <w:shd w:val="clear" w:color="auto" w:fill="FFFFFF" w:themeFill="background1"/>
            <w:vAlign w:val="center"/>
          </w:tcPr>
          <w:p w14:paraId="06E357F5">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选修课</w:t>
            </w:r>
          </w:p>
        </w:tc>
        <w:tc>
          <w:tcPr>
            <w:tcW w:w="8457" w:type="dxa"/>
            <w:shd w:val="clear" w:color="auto" w:fill="FFFFFF" w:themeFill="background1"/>
            <w:vAlign w:val="center"/>
          </w:tcPr>
          <w:p w14:paraId="5AB203D4">
            <w:pPr>
              <w:pStyle w:val="12"/>
              <w:ind w:firstLine="0" w:firstLineChars="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shd w:val="clear" w:color="auto" w:fill="FFFFFF"/>
              </w:rPr>
              <w:t>以餐饮服务与管理的实践活动为主线，系统、全面地讲授了餐饮服务的基本知识和技能、餐饮管理的理论和方法。共11个项目，分别为餐饮基础篇（包括餐饮业和餐饮部、餐饮服务人员的基本职业素养、餐饮服务基本技能3个项目）、餐饮服务篇（包括餐前服务、餐中服务、餐后服务3个项目）、餐饮管理篇（包括菜单管理、厨房生产管理、餐饮服务管理、餐饮营销管理、餐饮成本管理5个项目）</w:t>
            </w:r>
          </w:p>
        </w:tc>
      </w:tr>
      <w:tr w14:paraId="665AB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256" w:type="dxa"/>
            <w:vMerge w:val="continue"/>
            <w:shd w:val="clear" w:color="auto" w:fill="FFFFFF" w:themeFill="background1"/>
            <w:vAlign w:val="center"/>
          </w:tcPr>
          <w:p w14:paraId="7D5E8FDA">
            <w:pPr>
              <w:pStyle w:val="12"/>
              <w:ind w:firstLine="0" w:firstLineChars="0"/>
              <w:jc w:val="center"/>
              <w:rPr>
                <w:rFonts w:hint="eastAsia" w:ascii="方正仿宋_GB2312" w:hAnsi="方正仿宋_GB2312" w:eastAsia="方正仿宋_GB2312" w:cs="方正仿宋_GB2312"/>
                <w:bCs/>
                <w:sz w:val="21"/>
                <w:szCs w:val="21"/>
              </w:rPr>
            </w:pPr>
          </w:p>
        </w:tc>
        <w:tc>
          <w:tcPr>
            <w:tcW w:w="2143" w:type="dxa"/>
            <w:shd w:val="clear" w:color="auto" w:fill="FFFFFF" w:themeFill="background1"/>
            <w:vAlign w:val="center"/>
          </w:tcPr>
          <w:p w14:paraId="2FC18A9E">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旅游文化知识</w:t>
            </w:r>
          </w:p>
        </w:tc>
        <w:tc>
          <w:tcPr>
            <w:tcW w:w="1772" w:type="dxa"/>
            <w:shd w:val="clear" w:color="auto" w:fill="FFFFFF" w:themeFill="background1"/>
            <w:vAlign w:val="center"/>
          </w:tcPr>
          <w:p w14:paraId="2EEFA2F2">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选修课</w:t>
            </w:r>
          </w:p>
        </w:tc>
        <w:tc>
          <w:tcPr>
            <w:tcW w:w="8457" w:type="dxa"/>
            <w:shd w:val="clear" w:color="auto" w:fill="FFFFFF" w:themeFill="background1"/>
            <w:vAlign w:val="center"/>
          </w:tcPr>
          <w:p w14:paraId="3A4AE5B2">
            <w:pPr>
              <w:pStyle w:val="12"/>
              <w:ind w:firstLine="0" w:firstLineChars="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shd w:val="clear" w:color="auto" w:fill="FFFFFF"/>
              </w:rPr>
              <w:t>结合当前教育改革的需要，介绍了中国主要旅游客源国和目的地国的概况，包括基本国情、文化简况、民俗风情和旅游业简况等。共分为8个项目，包括：国际旅游市场概况、亚洲旅游区（上）、亚洲旅游区（下）、欧洲旅游区（上）、欧洲旅游区（下）、美洲旅游区、大洋洲旅游区、非洲旅游区。</w:t>
            </w:r>
          </w:p>
        </w:tc>
      </w:tr>
      <w:tr w14:paraId="6B2E2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9" w:hRule="atLeast"/>
        </w:trPr>
        <w:tc>
          <w:tcPr>
            <w:tcW w:w="1256" w:type="dxa"/>
            <w:vMerge w:val="continue"/>
            <w:shd w:val="clear" w:color="auto" w:fill="FFFFFF" w:themeFill="background1"/>
            <w:vAlign w:val="center"/>
          </w:tcPr>
          <w:p w14:paraId="414FE0C2">
            <w:pPr>
              <w:pStyle w:val="12"/>
              <w:ind w:firstLine="0" w:firstLineChars="0"/>
              <w:jc w:val="center"/>
              <w:rPr>
                <w:rFonts w:hint="eastAsia" w:ascii="方正仿宋_GB2312" w:hAnsi="方正仿宋_GB2312" w:eastAsia="方正仿宋_GB2312" w:cs="方正仿宋_GB2312"/>
                <w:bCs/>
                <w:sz w:val="21"/>
                <w:szCs w:val="21"/>
              </w:rPr>
            </w:pPr>
          </w:p>
        </w:tc>
        <w:tc>
          <w:tcPr>
            <w:tcW w:w="2143" w:type="dxa"/>
            <w:shd w:val="clear" w:color="auto" w:fill="FFFFFF" w:themeFill="background1"/>
            <w:vAlign w:val="center"/>
          </w:tcPr>
          <w:p w14:paraId="306E5981">
            <w:pPr>
              <w:pStyle w:val="12"/>
              <w:ind w:firstLine="0" w:firstLineChars="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民航危险品运输</w:t>
            </w:r>
          </w:p>
        </w:tc>
        <w:tc>
          <w:tcPr>
            <w:tcW w:w="1772" w:type="dxa"/>
            <w:shd w:val="clear" w:color="auto" w:fill="FFFFFF" w:themeFill="background1"/>
            <w:vAlign w:val="center"/>
          </w:tcPr>
          <w:p w14:paraId="146C7A57">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选修课</w:t>
            </w:r>
          </w:p>
        </w:tc>
        <w:tc>
          <w:tcPr>
            <w:tcW w:w="8457" w:type="dxa"/>
            <w:shd w:val="clear" w:color="auto" w:fill="FFFFFF" w:themeFill="background1"/>
            <w:vAlign w:val="center"/>
          </w:tcPr>
          <w:p w14:paraId="209E123B">
            <w:pPr>
              <w:pStyle w:val="12"/>
              <w:ind w:firstLine="0" w:firstLineChars="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shd w:val="clear" w:color="auto" w:fill="FFFFFF"/>
              </w:rPr>
              <w:t>结合国际民用航空组织对危险品货物运输的相关要求及航空危险品运输的工作实际，全面系统地讲述了民航危险品运输的理论知识及业务流程。系统地介绍了危险品的分类、识别、运输限制、包装、标记和标签、操作及事故的应急处置，以及与民航危险品运输相关的法律法规和特殊危险品的航空运输。旨在帮助学生系统地认识并掌握航空运输危险品的实际业务内容，为日后走上该岗位打下扎实的专业基础。</w:t>
            </w:r>
          </w:p>
        </w:tc>
      </w:tr>
    </w:tbl>
    <w:p w14:paraId="644944C5">
      <w:pPr>
        <w:widowControl/>
        <w:jc w:val="left"/>
        <w:rPr>
          <w:rFonts w:hint="eastAsia" w:ascii="方正仿宋_GB2312" w:hAnsi="方正仿宋_GB2312" w:eastAsia="方正仿宋_GB2312" w:cs="方正仿宋_GB2312"/>
          <w:kern w:val="0"/>
          <w:sz w:val="28"/>
          <w:szCs w:val="28"/>
        </w:rPr>
      </w:pPr>
    </w:p>
    <w:p w14:paraId="69E01799">
      <w:pPr>
        <w:widowControl/>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kern w:val="0"/>
          <w:sz w:val="28"/>
          <w:szCs w:val="28"/>
        </w:rPr>
        <w:t xml:space="preserve">各门课程的课程目标、主要内容和教学要求，具体见《课程标准》。 </w:t>
      </w:r>
    </w:p>
    <w:p w14:paraId="54F64736">
      <w:pPr>
        <w:overflowPunct w:val="0"/>
        <w:adjustRightInd w:val="0"/>
        <w:ind w:firstLine="640" w:firstLineChars="200"/>
        <w:rPr>
          <w:rFonts w:hint="eastAsia" w:ascii="仿宋" w:hAnsi="仿宋" w:eastAsia="仿宋" w:cs="仿宋"/>
          <w:szCs w:val="32"/>
        </w:rPr>
        <w:sectPr>
          <w:pgSz w:w="16838" w:h="11906" w:orient="landscape"/>
          <w:pgMar w:top="1803" w:right="1440" w:bottom="1803" w:left="1440" w:header="851" w:footer="992" w:gutter="0"/>
          <w:cols w:space="0" w:num="1"/>
          <w:docGrid w:type="lines" w:linePitch="436" w:charSpace="0"/>
        </w:sectPr>
      </w:pPr>
    </w:p>
    <w:p w14:paraId="0716BB69">
      <w:pPr>
        <w:overflowPunct w:val="0"/>
        <w:adjustRightInd w:val="0"/>
        <w:ind w:firstLine="640" w:firstLineChars="200"/>
        <w:rPr>
          <w:rFonts w:hint="eastAsia" w:ascii="仿宋" w:hAnsi="仿宋" w:eastAsia="仿宋" w:cs="仿宋"/>
          <w:szCs w:val="32"/>
        </w:rPr>
      </w:pPr>
    </w:p>
    <w:p w14:paraId="0E2067FD">
      <w:pPr>
        <w:numPr>
          <w:ilvl w:val="0"/>
          <w:numId w:val="1"/>
        </w:numPr>
        <w:overflowPunct w:val="0"/>
        <w:adjustRightInd w:val="0"/>
        <w:outlineLvl w:val="0"/>
        <w:rPr>
          <w:rFonts w:hint="eastAsia" w:ascii="黑体" w:hAnsi="黑体" w:eastAsia="黑体" w:cs="黑体"/>
          <w:szCs w:val="32"/>
        </w:rPr>
      </w:pPr>
      <w:bookmarkStart w:id="7" w:name="_Toc27524"/>
      <w:r>
        <w:rPr>
          <w:rFonts w:hint="eastAsia" w:ascii="黑体" w:hAnsi="黑体" w:eastAsia="黑体" w:cs="黑体"/>
          <w:szCs w:val="32"/>
        </w:rPr>
        <w:t>教学进程总体安排</w:t>
      </w:r>
      <w:bookmarkEnd w:id="7"/>
    </w:p>
    <w:p w14:paraId="0C421B45">
      <w:pPr>
        <w:pStyle w:val="12"/>
        <w:numPr>
          <w:ilvl w:val="0"/>
          <w:numId w:val="5"/>
        </w:numPr>
        <w:spacing w:line="520" w:lineRule="exact"/>
        <w:ind w:firstLine="0" w:firstLineChars="0"/>
        <w:outlineLvl w:val="1"/>
        <w:rPr>
          <w:rFonts w:hint="eastAsia" w:ascii="黑体" w:hAnsi="黑体" w:eastAsia="黑体" w:cs="黑体"/>
          <w:bCs/>
          <w:sz w:val="24"/>
        </w:rPr>
      </w:pPr>
      <w:r>
        <w:rPr>
          <w:rFonts w:hint="eastAsia" w:ascii="黑体" w:hAnsi="黑体" w:eastAsia="黑体" w:cs="黑体"/>
          <w:bCs/>
          <w:sz w:val="24"/>
        </w:rPr>
        <w:t>教学环节安排表</w:t>
      </w:r>
    </w:p>
    <w:p w14:paraId="5F1CEF0C">
      <w:pPr>
        <w:pStyle w:val="12"/>
        <w:spacing w:line="500" w:lineRule="exact"/>
        <w:ind w:firstLine="0" w:firstLineChars="0"/>
        <w:jc w:val="center"/>
        <w:rPr>
          <w:rFonts w:hint="eastAsia" w:ascii="方正仿宋_GB2312" w:hAnsi="方正仿宋_GB2312" w:eastAsia="方正仿宋_GB2312" w:cs="方正仿宋_GB2312"/>
          <w:b/>
          <w:sz w:val="28"/>
          <w:szCs w:val="28"/>
        </w:rPr>
      </w:pPr>
      <w:r>
        <w:rPr>
          <w:rFonts w:hint="eastAsia" w:ascii="方正仿宋_GB2312" w:hAnsi="方正仿宋_GB2312" w:eastAsia="方正仿宋_GB2312" w:cs="方正仿宋_GB2312"/>
          <w:b/>
          <w:bCs/>
          <w:sz w:val="28"/>
          <w:szCs w:val="28"/>
        </w:rPr>
        <w:t>表5 教学环节安排表</w:t>
      </w:r>
    </w:p>
    <w:tbl>
      <w:tblPr>
        <w:tblStyle w:val="8"/>
        <w:tblW w:w="8209" w:type="dxa"/>
        <w:tblInd w:w="141" w:type="dxa"/>
        <w:tblLayout w:type="fixed"/>
        <w:tblCellMar>
          <w:top w:w="0" w:type="dxa"/>
          <w:left w:w="108" w:type="dxa"/>
          <w:bottom w:w="0" w:type="dxa"/>
          <w:right w:w="108" w:type="dxa"/>
        </w:tblCellMar>
      </w:tblPr>
      <w:tblGrid>
        <w:gridCol w:w="785"/>
        <w:gridCol w:w="918"/>
        <w:gridCol w:w="774"/>
        <w:gridCol w:w="1148"/>
        <w:gridCol w:w="986"/>
        <w:gridCol w:w="971"/>
        <w:gridCol w:w="981"/>
        <w:gridCol w:w="851"/>
        <w:gridCol w:w="795"/>
      </w:tblGrid>
      <w:tr w14:paraId="27EF53CA">
        <w:tblPrEx>
          <w:tblCellMar>
            <w:top w:w="0" w:type="dxa"/>
            <w:left w:w="108" w:type="dxa"/>
            <w:bottom w:w="0" w:type="dxa"/>
            <w:right w:w="108" w:type="dxa"/>
          </w:tblCellMar>
        </w:tblPrEx>
        <w:trPr>
          <w:trHeight w:val="687" w:hRule="atLeast"/>
        </w:trPr>
        <w:tc>
          <w:tcPr>
            <w:tcW w:w="785" w:type="dxa"/>
            <w:tcBorders>
              <w:top w:val="double" w:color="auto" w:sz="6" w:space="0"/>
              <w:left w:val="double" w:color="auto" w:sz="6" w:space="0"/>
              <w:bottom w:val="single" w:color="auto" w:sz="4" w:space="0"/>
              <w:right w:val="single" w:color="auto" w:sz="4" w:space="0"/>
            </w:tcBorders>
            <w:shd w:val="clear" w:color="auto" w:fill="D7D7D7"/>
            <w:vAlign w:val="center"/>
          </w:tcPr>
          <w:p w14:paraId="740B760C">
            <w:pPr>
              <w:widowControl/>
              <w:jc w:val="center"/>
              <w:rPr>
                <w:rFonts w:hint="eastAsia"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学年</w:t>
            </w:r>
          </w:p>
        </w:tc>
        <w:tc>
          <w:tcPr>
            <w:tcW w:w="918" w:type="dxa"/>
            <w:tcBorders>
              <w:top w:val="double" w:color="auto" w:sz="6" w:space="0"/>
              <w:left w:val="nil"/>
              <w:bottom w:val="single" w:color="auto" w:sz="4" w:space="0"/>
              <w:right w:val="single" w:color="auto" w:sz="4" w:space="0"/>
            </w:tcBorders>
            <w:shd w:val="clear" w:color="auto" w:fill="D7D7D7"/>
            <w:vAlign w:val="center"/>
          </w:tcPr>
          <w:p w14:paraId="76BCB0A1">
            <w:pPr>
              <w:widowControl/>
              <w:jc w:val="center"/>
              <w:rPr>
                <w:rFonts w:hint="eastAsia"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学期</w:t>
            </w:r>
          </w:p>
        </w:tc>
        <w:tc>
          <w:tcPr>
            <w:tcW w:w="774" w:type="dxa"/>
            <w:tcBorders>
              <w:top w:val="double" w:color="auto" w:sz="6" w:space="0"/>
              <w:left w:val="nil"/>
              <w:bottom w:val="single" w:color="auto" w:sz="4" w:space="0"/>
              <w:right w:val="single" w:color="auto" w:sz="4" w:space="0"/>
            </w:tcBorders>
            <w:shd w:val="clear" w:color="auto" w:fill="D7D7D7"/>
            <w:vAlign w:val="center"/>
          </w:tcPr>
          <w:p w14:paraId="3FD0FD82">
            <w:pPr>
              <w:widowControl/>
              <w:jc w:val="center"/>
              <w:rPr>
                <w:rFonts w:hint="eastAsia"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军训</w:t>
            </w:r>
          </w:p>
        </w:tc>
        <w:tc>
          <w:tcPr>
            <w:tcW w:w="1148" w:type="dxa"/>
            <w:tcBorders>
              <w:top w:val="double" w:color="auto" w:sz="6" w:space="0"/>
              <w:left w:val="nil"/>
              <w:bottom w:val="single" w:color="auto" w:sz="4" w:space="0"/>
              <w:right w:val="single" w:color="auto" w:sz="4" w:space="0"/>
            </w:tcBorders>
            <w:shd w:val="clear" w:color="auto" w:fill="D7D7D7"/>
            <w:vAlign w:val="center"/>
          </w:tcPr>
          <w:p w14:paraId="4F9A4928">
            <w:pPr>
              <w:widowControl/>
              <w:jc w:val="center"/>
              <w:rPr>
                <w:rFonts w:hint="eastAsia"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入学</w:t>
            </w:r>
          </w:p>
          <w:p w14:paraId="6CF550B4">
            <w:pPr>
              <w:widowControl/>
              <w:jc w:val="center"/>
              <w:rPr>
                <w:rFonts w:hint="eastAsia"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教育</w:t>
            </w:r>
          </w:p>
        </w:tc>
        <w:tc>
          <w:tcPr>
            <w:tcW w:w="986" w:type="dxa"/>
            <w:tcBorders>
              <w:top w:val="double" w:color="auto" w:sz="6" w:space="0"/>
              <w:left w:val="nil"/>
              <w:bottom w:val="single" w:color="auto" w:sz="4" w:space="0"/>
              <w:right w:val="single" w:color="auto" w:sz="4" w:space="0"/>
            </w:tcBorders>
            <w:shd w:val="clear" w:color="auto" w:fill="D7D7D7"/>
            <w:vAlign w:val="center"/>
          </w:tcPr>
          <w:p w14:paraId="1A260D0B">
            <w:pPr>
              <w:widowControl/>
              <w:jc w:val="center"/>
              <w:rPr>
                <w:rFonts w:hint="eastAsia"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实践专用周</w:t>
            </w:r>
          </w:p>
        </w:tc>
        <w:tc>
          <w:tcPr>
            <w:tcW w:w="971" w:type="dxa"/>
            <w:tcBorders>
              <w:top w:val="double" w:color="auto" w:sz="6" w:space="0"/>
              <w:left w:val="nil"/>
              <w:bottom w:val="single" w:color="auto" w:sz="4" w:space="0"/>
              <w:right w:val="single" w:color="auto" w:sz="4" w:space="0"/>
            </w:tcBorders>
            <w:shd w:val="clear" w:color="auto" w:fill="D7D7D7"/>
            <w:vAlign w:val="center"/>
          </w:tcPr>
          <w:p w14:paraId="40CF1804">
            <w:pPr>
              <w:widowControl/>
              <w:jc w:val="center"/>
              <w:rPr>
                <w:rFonts w:hint="eastAsia"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理论教学周</w:t>
            </w:r>
          </w:p>
        </w:tc>
        <w:tc>
          <w:tcPr>
            <w:tcW w:w="981" w:type="dxa"/>
            <w:tcBorders>
              <w:top w:val="double" w:color="auto" w:sz="6" w:space="0"/>
              <w:left w:val="nil"/>
              <w:bottom w:val="single" w:color="auto" w:sz="4" w:space="0"/>
              <w:right w:val="single" w:color="auto" w:sz="4" w:space="0"/>
            </w:tcBorders>
            <w:shd w:val="clear" w:color="auto" w:fill="D7D7D7"/>
            <w:vAlign w:val="center"/>
          </w:tcPr>
          <w:p w14:paraId="63D9340F">
            <w:pPr>
              <w:widowControl/>
              <w:jc w:val="center"/>
              <w:rPr>
                <w:rFonts w:hint="eastAsia"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考试周</w:t>
            </w:r>
          </w:p>
        </w:tc>
        <w:tc>
          <w:tcPr>
            <w:tcW w:w="851" w:type="dxa"/>
            <w:tcBorders>
              <w:top w:val="double" w:color="auto" w:sz="6" w:space="0"/>
              <w:left w:val="nil"/>
              <w:bottom w:val="single" w:color="auto" w:sz="4" w:space="0"/>
              <w:right w:val="double" w:color="auto" w:sz="6" w:space="0"/>
            </w:tcBorders>
            <w:shd w:val="clear" w:color="auto" w:fill="D7D7D7"/>
            <w:vAlign w:val="center"/>
          </w:tcPr>
          <w:p w14:paraId="1EAEFECA">
            <w:pPr>
              <w:widowControl/>
              <w:jc w:val="center"/>
              <w:rPr>
                <w:rFonts w:hint="eastAsia"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机动\放假</w:t>
            </w:r>
          </w:p>
        </w:tc>
        <w:tc>
          <w:tcPr>
            <w:tcW w:w="795" w:type="dxa"/>
            <w:tcBorders>
              <w:top w:val="double" w:color="auto" w:sz="6" w:space="0"/>
              <w:left w:val="nil"/>
              <w:bottom w:val="single" w:color="auto" w:sz="4" w:space="0"/>
              <w:right w:val="double" w:color="auto" w:sz="6" w:space="0"/>
            </w:tcBorders>
            <w:shd w:val="clear" w:color="auto" w:fill="D7D7D7"/>
            <w:vAlign w:val="center"/>
          </w:tcPr>
          <w:p w14:paraId="3A714EF8">
            <w:pPr>
              <w:widowControl/>
              <w:jc w:val="center"/>
              <w:rPr>
                <w:rFonts w:hint="eastAsia"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合计</w:t>
            </w:r>
          </w:p>
        </w:tc>
      </w:tr>
      <w:tr w14:paraId="20A2885D">
        <w:tblPrEx>
          <w:tblCellMar>
            <w:top w:w="0" w:type="dxa"/>
            <w:left w:w="108" w:type="dxa"/>
            <w:bottom w:w="0" w:type="dxa"/>
            <w:right w:w="108" w:type="dxa"/>
          </w:tblCellMar>
        </w:tblPrEx>
        <w:trPr>
          <w:trHeight w:val="362" w:hRule="atLeast"/>
        </w:trPr>
        <w:tc>
          <w:tcPr>
            <w:tcW w:w="785" w:type="dxa"/>
            <w:vMerge w:val="restart"/>
            <w:tcBorders>
              <w:top w:val="nil"/>
              <w:left w:val="double" w:color="auto" w:sz="6" w:space="0"/>
              <w:bottom w:val="single" w:color="auto" w:sz="4" w:space="0"/>
              <w:right w:val="single" w:color="auto" w:sz="4" w:space="0"/>
            </w:tcBorders>
            <w:vAlign w:val="center"/>
          </w:tcPr>
          <w:p w14:paraId="236E421A">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一</w:t>
            </w:r>
          </w:p>
        </w:tc>
        <w:tc>
          <w:tcPr>
            <w:tcW w:w="918" w:type="dxa"/>
            <w:tcBorders>
              <w:top w:val="nil"/>
              <w:left w:val="nil"/>
              <w:bottom w:val="single" w:color="auto" w:sz="4" w:space="0"/>
              <w:right w:val="single" w:color="auto" w:sz="4" w:space="0"/>
            </w:tcBorders>
            <w:vAlign w:val="center"/>
          </w:tcPr>
          <w:p w14:paraId="57EAB17E">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1</w:t>
            </w:r>
          </w:p>
        </w:tc>
        <w:tc>
          <w:tcPr>
            <w:tcW w:w="774" w:type="dxa"/>
            <w:tcBorders>
              <w:top w:val="nil"/>
              <w:left w:val="nil"/>
              <w:bottom w:val="single" w:color="auto" w:sz="4" w:space="0"/>
              <w:right w:val="single" w:color="auto" w:sz="4" w:space="0"/>
            </w:tcBorders>
            <w:vAlign w:val="center"/>
          </w:tcPr>
          <w:p w14:paraId="61A804A4">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2</w:t>
            </w:r>
          </w:p>
        </w:tc>
        <w:tc>
          <w:tcPr>
            <w:tcW w:w="1148" w:type="dxa"/>
            <w:tcBorders>
              <w:top w:val="nil"/>
              <w:left w:val="nil"/>
              <w:bottom w:val="single" w:color="auto" w:sz="4" w:space="0"/>
              <w:right w:val="single" w:color="auto" w:sz="4" w:space="0"/>
            </w:tcBorders>
            <w:vAlign w:val="center"/>
          </w:tcPr>
          <w:p w14:paraId="05C6E791">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1</w:t>
            </w:r>
          </w:p>
        </w:tc>
        <w:tc>
          <w:tcPr>
            <w:tcW w:w="986" w:type="dxa"/>
            <w:tcBorders>
              <w:top w:val="nil"/>
              <w:left w:val="nil"/>
              <w:bottom w:val="single" w:color="auto" w:sz="4" w:space="0"/>
              <w:right w:val="single" w:color="auto" w:sz="4" w:space="0"/>
            </w:tcBorders>
            <w:vAlign w:val="center"/>
          </w:tcPr>
          <w:p w14:paraId="3AAE4CF0">
            <w:pPr>
              <w:widowControl/>
              <w:jc w:val="center"/>
              <w:rPr>
                <w:rFonts w:hint="eastAsia" w:ascii="方正仿宋_GB2312" w:hAnsi="方正仿宋_GB2312" w:eastAsia="方正仿宋_GB2312" w:cs="方正仿宋_GB2312"/>
                <w:kern w:val="0"/>
                <w:sz w:val="21"/>
                <w:szCs w:val="21"/>
                <w:lang w:val="en-US" w:eastAsia="zh-CN"/>
              </w:rPr>
            </w:pPr>
            <w:r>
              <w:rPr>
                <w:rFonts w:hint="eastAsia" w:ascii="方正仿宋_GB2312" w:hAnsi="方正仿宋_GB2312" w:eastAsia="方正仿宋_GB2312" w:cs="方正仿宋_GB2312"/>
                <w:kern w:val="0"/>
                <w:sz w:val="21"/>
                <w:szCs w:val="21"/>
                <w:lang w:val="en-US" w:eastAsia="zh-CN"/>
              </w:rPr>
              <w:t>2</w:t>
            </w:r>
          </w:p>
        </w:tc>
        <w:tc>
          <w:tcPr>
            <w:tcW w:w="971" w:type="dxa"/>
            <w:tcBorders>
              <w:top w:val="nil"/>
              <w:left w:val="nil"/>
              <w:bottom w:val="single" w:color="auto" w:sz="4" w:space="0"/>
              <w:right w:val="single" w:color="auto" w:sz="4" w:space="0"/>
            </w:tcBorders>
            <w:vAlign w:val="center"/>
          </w:tcPr>
          <w:p w14:paraId="4BCA73EB">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13</w:t>
            </w:r>
          </w:p>
        </w:tc>
        <w:tc>
          <w:tcPr>
            <w:tcW w:w="981" w:type="dxa"/>
            <w:tcBorders>
              <w:top w:val="nil"/>
              <w:left w:val="nil"/>
              <w:bottom w:val="single" w:color="auto" w:sz="4" w:space="0"/>
              <w:right w:val="single" w:color="auto" w:sz="4" w:space="0"/>
            </w:tcBorders>
            <w:vAlign w:val="center"/>
          </w:tcPr>
          <w:p w14:paraId="30CDEB51">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1</w:t>
            </w:r>
          </w:p>
        </w:tc>
        <w:tc>
          <w:tcPr>
            <w:tcW w:w="851" w:type="dxa"/>
            <w:tcBorders>
              <w:top w:val="nil"/>
              <w:left w:val="nil"/>
              <w:bottom w:val="single" w:color="auto" w:sz="4" w:space="0"/>
              <w:right w:val="double" w:color="auto" w:sz="6" w:space="0"/>
            </w:tcBorders>
            <w:vAlign w:val="center"/>
          </w:tcPr>
          <w:p w14:paraId="66C9604F">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1</w:t>
            </w:r>
          </w:p>
        </w:tc>
        <w:tc>
          <w:tcPr>
            <w:tcW w:w="795" w:type="dxa"/>
            <w:tcBorders>
              <w:top w:val="nil"/>
              <w:left w:val="nil"/>
              <w:bottom w:val="single" w:color="auto" w:sz="4" w:space="0"/>
              <w:right w:val="double" w:color="auto" w:sz="6" w:space="0"/>
            </w:tcBorders>
            <w:vAlign w:val="center"/>
          </w:tcPr>
          <w:p w14:paraId="5680A764">
            <w:pPr>
              <w:widowControl/>
              <w:jc w:val="center"/>
              <w:rPr>
                <w:rFonts w:hint="default" w:ascii="方正仿宋_GB2312" w:hAnsi="方正仿宋_GB2312" w:eastAsia="方正仿宋_GB2312" w:cs="方正仿宋_GB2312"/>
                <w:kern w:val="0"/>
                <w:sz w:val="21"/>
                <w:szCs w:val="21"/>
                <w:lang w:val="en-US" w:eastAsia="zh-CN"/>
              </w:rPr>
            </w:pPr>
            <w:r>
              <w:rPr>
                <w:rFonts w:hint="eastAsia" w:ascii="方正仿宋_GB2312" w:hAnsi="方正仿宋_GB2312" w:eastAsia="方正仿宋_GB2312" w:cs="方正仿宋_GB2312"/>
                <w:kern w:val="0"/>
                <w:sz w:val="21"/>
                <w:szCs w:val="21"/>
                <w:lang w:val="en-US" w:eastAsia="zh-CN"/>
              </w:rPr>
              <w:t>20</w:t>
            </w:r>
          </w:p>
        </w:tc>
      </w:tr>
      <w:tr w14:paraId="21AF7711">
        <w:tblPrEx>
          <w:tblCellMar>
            <w:top w:w="0" w:type="dxa"/>
            <w:left w:w="108" w:type="dxa"/>
            <w:bottom w:w="0" w:type="dxa"/>
            <w:right w:w="108" w:type="dxa"/>
          </w:tblCellMar>
        </w:tblPrEx>
        <w:trPr>
          <w:trHeight w:val="362" w:hRule="atLeast"/>
        </w:trPr>
        <w:tc>
          <w:tcPr>
            <w:tcW w:w="785" w:type="dxa"/>
            <w:vMerge w:val="continue"/>
            <w:tcBorders>
              <w:top w:val="nil"/>
              <w:left w:val="double" w:color="auto" w:sz="6" w:space="0"/>
              <w:bottom w:val="single" w:color="auto" w:sz="4" w:space="0"/>
              <w:right w:val="single" w:color="auto" w:sz="4" w:space="0"/>
            </w:tcBorders>
            <w:vAlign w:val="center"/>
          </w:tcPr>
          <w:p w14:paraId="165613E1">
            <w:pPr>
              <w:widowControl/>
              <w:jc w:val="left"/>
              <w:rPr>
                <w:rFonts w:hint="eastAsia" w:ascii="方正仿宋_GB2312" w:hAnsi="方正仿宋_GB2312" w:eastAsia="方正仿宋_GB2312" w:cs="方正仿宋_GB2312"/>
                <w:kern w:val="0"/>
                <w:sz w:val="21"/>
                <w:szCs w:val="21"/>
              </w:rPr>
            </w:pPr>
          </w:p>
        </w:tc>
        <w:tc>
          <w:tcPr>
            <w:tcW w:w="918" w:type="dxa"/>
            <w:tcBorders>
              <w:top w:val="nil"/>
              <w:left w:val="nil"/>
              <w:bottom w:val="single" w:color="auto" w:sz="4" w:space="0"/>
              <w:right w:val="single" w:color="auto" w:sz="4" w:space="0"/>
            </w:tcBorders>
            <w:vAlign w:val="center"/>
          </w:tcPr>
          <w:p w14:paraId="7F456C23">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2</w:t>
            </w:r>
          </w:p>
        </w:tc>
        <w:tc>
          <w:tcPr>
            <w:tcW w:w="774" w:type="dxa"/>
            <w:tcBorders>
              <w:top w:val="nil"/>
              <w:left w:val="nil"/>
              <w:bottom w:val="single" w:color="auto" w:sz="4" w:space="0"/>
              <w:right w:val="single" w:color="auto" w:sz="4" w:space="0"/>
            </w:tcBorders>
            <w:vAlign w:val="center"/>
          </w:tcPr>
          <w:p w14:paraId="25526CE8">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　</w:t>
            </w:r>
          </w:p>
        </w:tc>
        <w:tc>
          <w:tcPr>
            <w:tcW w:w="1148" w:type="dxa"/>
            <w:tcBorders>
              <w:top w:val="nil"/>
              <w:left w:val="nil"/>
              <w:bottom w:val="single" w:color="auto" w:sz="4" w:space="0"/>
              <w:right w:val="single" w:color="auto" w:sz="4" w:space="0"/>
            </w:tcBorders>
            <w:vAlign w:val="center"/>
          </w:tcPr>
          <w:p w14:paraId="6628D33A">
            <w:pPr>
              <w:widowControl/>
              <w:jc w:val="center"/>
              <w:rPr>
                <w:rFonts w:hint="eastAsia" w:ascii="方正仿宋_GB2312" w:hAnsi="方正仿宋_GB2312" w:eastAsia="方正仿宋_GB2312" w:cs="方正仿宋_GB2312"/>
                <w:kern w:val="0"/>
                <w:sz w:val="21"/>
                <w:szCs w:val="21"/>
              </w:rPr>
            </w:pPr>
          </w:p>
        </w:tc>
        <w:tc>
          <w:tcPr>
            <w:tcW w:w="986" w:type="dxa"/>
            <w:tcBorders>
              <w:top w:val="nil"/>
              <w:left w:val="nil"/>
              <w:bottom w:val="single" w:color="auto" w:sz="4" w:space="0"/>
              <w:right w:val="single" w:color="auto" w:sz="4" w:space="0"/>
            </w:tcBorders>
            <w:vAlign w:val="center"/>
          </w:tcPr>
          <w:p w14:paraId="473C34D5">
            <w:pPr>
              <w:widowControl/>
              <w:jc w:val="center"/>
              <w:rPr>
                <w:rFonts w:hint="eastAsia" w:ascii="方正仿宋_GB2312" w:hAnsi="方正仿宋_GB2312" w:eastAsia="方正仿宋_GB2312" w:cs="方正仿宋_GB2312"/>
                <w:kern w:val="0"/>
                <w:sz w:val="21"/>
                <w:szCs w:val="21"/>
                <w:lang w:eastAsia="zh-CN"/>
              </w:rPr>
            </w:pPr>
            <w:r>
              <w:rPr>
                <w:rFonts w:hint="eastAsia" w:ascii="方正仿宋_GB2312" w:hAnsi="方正仿宋_GB2312" w:eastAsia="方正仿宋_GB2312" w:cs="方正仿宋_GB2312"/>
                <w:kern w:val="0"/>
                <w:sz w:val="21"/>
                <w:szCs w:val="21"/>
                <w:lang w:val="en-US" w:eastAsia="zh-CN"/>
              </w:rPr>
              <w:t>1</w:t>
            </w:r>
          </w:p>
        </w:tc>
        <w:tc>
          <w:tcPr>
            <w:tcW w:w="971" w:type="dxa"/>
            <w:tcBorders>
              <w:top w:val="nil"/>
              <w:left w:val="nil"/>
              <w:bottom w:val="single" w:color="auto" w:sz="4" w:space="0"/>
              <w:right w:val="single" w:color="auto" w:sz="4" w:space="0"/>
            </w:tcBorders>
            <w:vAlign w:val="center"/>
          </w:tcPr>
          <w:p w14:paraId="6BC3A445">
            <w:pPr>
              <w:widowControl/>
              <w:jc w:val="center"/>
              <w:rPr>
                <w:rFonts w:hint="eastAsia" w:ascii="方正仿宋_GB2312" w:hAnsi="方正仿宋_GB2312" w:eastAsia="方正仿宋_GB2312" w:cs="方正仿宋_GB2312"/>
                <w:kern w:val="0"/>
                <w:sz w:val="21"/>
                <w:szCs w:val="21"/>
                <w:lang w:eastAsia="zh-CN"/>
              </w:rPr>
            </w:pPr>
            <w:r>
              <w:rPr>
                <w:rFonts w:hint="eastAsia" w:ascii="方正仿宋_GB2312" w:hAnsi="方正仿宋_GB2312" w:eastAsia="方正仿宋_GB2312" w:cs="方正仿宋_GB2312"/>
                <w:kern w:val="0"/>
                <w:sz w:val="21"/>
                <w:szCs w:val="21"/>
              </w:rPr>
              <w:t>1</w:t>
            </w:r>
            <w:r>
              <w:rPr>
                <w:rFonts w:hint="eastAsia" w:ascii="方正仿宋_GB2312" w:hAnsi="方正仿宋_GB2312" w:eastAsia="方正仿宋_GB2312" w:cs="方正仿宋_GB2312"/>
                <w:kern w:val="0"/>
                <w:sz w:val="21"/>
                <w:szCs w:val="21"/>
                <w:lang w:val="en-US" w:eastAsia="zh-CN"/>
              </w:rPr>
              <w:t>7</w:t>
            </w:r>
          </w:p>
        </w:tc>
        <w:tc>
          <w:tcPr>
            <w:tcW w:w="981" w:type="dxa"/>
            <w:tcBorders>
              <w:top w:val="nil"/>
              <w:left w:val="nil"/>
              <w:bottom w:val="single" w:color="auto" w:sz="4" w:space="0"/>
              <w:right w:val="single" w:color="auto" w:sz="4" w:space="0"/>
            </w:tcBorders>
            <w:vAlign w:val="center"/>
          </w:tcPr>
          <w:p w14:paraId="4B81E38D">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1</w:t>
            </w:r>
          </w:p>
        </w:tc>
        <w:tc>
          <w:tcPr>
            <w:tcW w:w="851" w:type="dxa"/>
            <w:tcBorders>
              <w:top w:val="nil"/>
              <w:left w:val="nil"/>
              <w:bottom w:val="single" w:color="auto" w:sz="4" w:space="0"/>
              <w:right w:val="double" w:color="auto" w:sz="6" w:space="0"/>
            </w:tcBorders>
            <w:vAlign w:val="center"/>
          </w:tcPr>
          <w:p w14:paraId="5103750F">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1</w:t>
            </w:r>
          </w:p>
        </w:tc>
        <w:tc>
          <w:tcPr>
            <w:tcW w:w="795" w:type="dxa"/>
            <w:tcBorders>
              <w:top w:val="nil"/>
              <w:left w:val="nil"/>
              <w:bottom w:val="single" w:color="auto" w:sz="4" w:space="0"/>
              <w:right w:val="double" w:color="auto" w:sz="6" w:space="0"/>
            </w:tcBorders>
            <w:vAlign w:val="center"/>
          </w:tcPr>
          <w:p w14:paraId="0CAE9C51">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20</w:t>
            </w:r>
          </w:p>
        </w:tc>
      </w:tr>
      <w:tr w14:paraId="6584B1CA">
        <w:tblPrEx>
          <w:tblCellMar>
            <w:top w:w="0" w:type="dxa"/>
            <w:left w:w="108" w:type="dxa"/>
            <w:bottom w:w="0" w:type="dxa"/>
            <w:right w:w="108" w:type="dxa"/>
          </w:tblCellMar>
        </w:tblPrEx>
        <w:trPr>
          <w:trHeight w:val="362" w:hRule="atLeast"/>
        </w:trPr>
        <w:tc>
          <w:tcPr>
            <w:tcW w:w="785" w:type="dxa"/>
            <w:vMerge w:val="restart"/>
            <w:tcBorders>
              <w:top w:val="nil"/>
              <w:left w:val="double" w:color="auto" w:sz="6" w:space="0"/>
              <w:bottom w:val="single" w:color="auto" w:sz="4" w:space="0"/>
              <w:right w:val="single" w:color="auto" w:sz="4" w:space="0"/>
            </w:tcBorders>
            <w:vAlign w:val="center"/>
          </w:tcPr>
          <w:p w14:paraId="63777E05">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二</w:t>
            </w:r>
          </w:p>
        </w:tc>
        <w:tc>
          <w:tcPr>
            <w:tcW w:w="918" w:type="dxa"/>
            <w:tcBorders>
              <w:top w:val="nil"/>
              <w:left w:val="nil"/>
              <w:bottom w:val="single" w:color="auto" w:sz="4" w:space="0"/>
              <w:right w:val="single" w:color="auto" w:sz="4" w:space="0"/>
            </w:tcBorders>
            <w:vAlign w:val="center"/>
          </w:tcPr>
          <w:p w14:paraId="7A2A8484">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3</w:t>
            </w:r>
          </w:p>
        </w:tc>
        <w:tc>
          <w:tcPr>
            <w:tcW w:w="774" w:type="dxa"/>
            <w:tcBorders>
              <w:top w:val="nil"/>
              <w:left w:val="nil"/>
              <w:bottom w:val="single" w:color="auto" w:sz="4" w:space="0"/>
              <w:right w:val="single" w:color="auto" w:sz="4" w:space="0"/>
            </w:tcBorders>
            <w:vAlign w:val="center"/>
          </w:tcPr>
          <w:p w14:paraId="4C2AC213">
            <w:pPr>
              <w:widowControl/>
              <w:jc w:val="center"/>
              <w:rPr>
                <w:rFonts w:hint="eastAsia" w:ascii="方正仿宋_GB2312" w:hAnsi="方正仿宋_GB2312" w:eastAsia="方正仿宋_GB2312" w:cs="方正仿宋_GB2312"/>
                <w:kern w:val="0"/>
                <w:sz w:val="21"/>
                <w:szCs w:val="21"/>
              </w:rPr>
            </w:pPr>
          </w:p>
        </w:tc>
        <w:tc>
          <w:tcPr>
            <w:tcW w:w="1148" w:type="dxa"/>
            <w:tcBorders>
              <w:top w:val="nil"/>
              <w:left w:val="nil"/>
              <w:bottom w:val="single" w:color="auto" w:sz="4" w:space="0"/>
              <w:right w:val="single" w:color="auto" w:sz="4" w:space="0"/>
            </w:tcBorders>
            <w:vAlign w:val="center"/>
          </w:tcPr>
          <w:p w14:paraId="1F643223">
            <w:pPr>
              <w:widowControl/>
              <w:jc w:val="center"/>
              <w:rPr>
                <w:rFonts w:hint="eastAsia" w:ascii="方正仿宋_GB2312" w:hAnsi="方正仿宋_GB2312" w:eastAsia="方正仿宋_GB2312" w:cs="方正仿宋_GB2312"/>
                <w:kern w:val="0"/>
                <w:sz w:val="21"/>
                <w:szCs w:val="21"/>
              </w:rPr>
            </w:pPr>
          </w:p>
        </w:tc>
        <w:tc>
          <w:tcPr>
            <w:tcW w:w="986" w:type="dxa"/>
            <w:tcBorders>
              <w:top w:val="nil"/>
              <w:left w:val="nil"/>
              <w:bottom w:val="single" w:color="auto" w:sz="4" w:space="0"/>
              <w:right w:val="single" w:color="auto" w:sz="4" w:space="0"/>
            </w:tcBorders>
            <w:vAlign w:val="center"/>
          </w:tcPr>
          <w:p w14:paraId="61E43D62">
            <w:pPr>
              <w:widowControl/>
              <w:jc w:val="center"/>
              <w:rPr>
                <w:rFonts w:hint="eastAsia" w:ascii="方正仿宋_GB2312" w:hAnsi="方正仿宋_GB2312" w:eastAsia="方正仿宋_GB2312" w:cs="方正仿宋_GB2312"/>
                <w:kern w:val="0"/>
                <w:sz w:val="21"/>
                <w:szCs w:val="21"/>
                <w:lang w:eastAsia="zh-CN"/>
              </w:rPr>
            </w:pPr>
            <w:r>
              <w:rPr>
                <w:rFonts w:hint="eastAsia" w:ascii="方正仿宋_GB2312" w:hAnsi="方正仿宋_GB2312" w:eastAsia="方正仿宋_GB2312" w:cs="方正仿宋_GB2312"/>
                <w:kern w:val="0"/>
                <w:sz w:val="21"/>
                <w:szCs w:val="21"/>
                <w:lang w:val="en-US" w:eastAsia="zh-CN"/>
              </w:rPr>
              <w:t>4</w:t>
            </w:r>
          </w:p>
        </w:tc>
        <w:tc>
          <w:tcPr>
            <w:tcW w:w="971" w:type="dxa"/>
            <w:tcBorders>
              <w:top w:val="nil"/>
              <w:left w:val="nil"/>
              <w:bottom w:val="single" w:color="auto" w:sz="4" w:space="0"/>
              <w:right w:val="single" w:color="auto" w:sz="4" w:space="0"/>
            </w:tcBorders>
            <w:vAlign w:val="center"/>
          </w:tcPr>
          <w:p w14:paraId="0C13BC2F">
            <w:pPr>
              <w:widowControl/>
              <w:jc w:val="center"/>
              <w:rPr>
                <w:rFonts w:hint="eastAsia" w:ascii="方正仿宋_GB2312" w:hAnsi="方正仿宋_GB2312" w:eastAsia="方正仿宋_GB2312" w:cs="方正仿宋_GB2312"/>
                <w:kern w:val="0"/>
                <w:sz w:val="21"/>
                <w:szCs w:val="21"/>
                <w:lang w:eastAsia="zh-CN"/>
              </w:rPr>
            </w:pPr>
            <w:r>
              <w:rPr>
                <w:rFonts w:hint="eastAsia" w:ascii="方正仿宋_GB2312" w:hAnsi="方正仿宋_GB2312" w:eastAsia="方正仿宋_GB2312" w:cs="方正仿宋_GB2312"/>
                <w:kern w:val="0"/>
                <w:sz w:val="21"/>
                <w:szCs w:val="21"/>
              </w:rPr>
              <w:t>1</w:t>
            </w:r>
            <w:r>
              <w:rPr>
                <w:rFonts w:hint="eastAsia" w:ascii="方正仿宋_GB2312" w:hAnsi="方正仿宋_GB2312" w:eastAsia="方正仿宋_GB2312" w:cs="方正仿宋_GB2312"/>
                <w:kern w:val="0"/>
                <w:sz w:val="21"/>
                <w:szCs w:val="21"/>
                <w:lang w:val="en-US" w:eastAsia="zh-CN"/>
              </w:rPr>
              <w:t>4</w:t>
            </w:r>
          </w:p>
        </w:tc>
        <w:tc>
          <w:tcPr>
            <w:tcW w:w="981" w:type="dxa"/>
            <w:tcBorders>
              <w:top w:val="nil"/>
              <w:left w:val="nil"/>
              <w:bottom w:val="single" w:color="auto" w:sz="4" w:space="0"/>
              <w:right w:val="single" w:color="auto" w:sz="4" w:space="0"/>
            </w:tcBorders>
            <w:vAlign w:val="center"/>
          </w:tcPr>
          <w:p w14:paraId="6C2719E8">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1</w:t>
            </w:r>
          </w:p>
        </w:tc>
        <w:tc>
          <w:tcPr>
            <w:tcW w:w="851" w:type="dxa"/>
            <w:tcBorders>
              <w:top w:val="nil"/>
              <w:left w:val="nil"/>
              <w:bottom w:val="single" w:color="auto" w:sz="4" w:space="0"/>
              <w:right w:val="double" w:color="auto" w:sz="6" w:space="0"/>
            </w:tcBorders>
            <w:vAlign w:val="center"/>
          </w:tcPr>
          <w:p w14:paraId="3319DA62">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1</w:t>
            </w:r>
          </w:p>
        </w:tc>
        <w:tc>
          <w:tcPr>
            <w:tcW w:w="795" w:type="dxa"/>
            <w:tcBorders>
              <w:top w:val="nil"/>
              <w:left w:val="nil"/>
              <w:bottom w:val="single" w:color="auto" w:sz="4" w:space="0"/>
              <w:right w:val="double" w:color="auto" w:sz="6" w:space="0"/>
            </w:tcBorders>
            <w:vAlign w:val="center"/>
          </w:tcPr>
          <w:p w14:paraId="01DBBA3F">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20</w:t>
            </w:r>
          </w:p>
        </w:tc>
      </w:tr>
      <w:tr w14:paraId="1B8FBC8B">
        <w:tblPrEx>
          <w:tblCellMar>
            <w:top w:w="0" w:type="dxa"/>
            <w:left w:w="108" w:type="dxa"/>
            <w:bottom w:w="0" w:type="dxa"/>
            <w:right w:w="108" w:type="dxa"/>
          </w:tblCellMar>
        </w:tblPrEx>
        <w:trPr>
          <w:trHeight w:val="362" w:hRule="atLeast"/>
        </w:trPr>
        <w:tc>
          <w:tcPr>
            <w:tcW w:w="785" w:type="dxa"/>
            <w:vMerge w:val="continue"/>
            <w:tcBorders>
              <w:top w:val="nil"/>
              <w:left w:val="double" w:color="auto" w:sz="6" w:space="0"/>
              <w:bottom w:val="single" w:color="auto" w:sz="4" w:space="0"/>
              <w:right w:val="single" w:color="auto" w:sz="4" w:space="0"/>
            </w:tcBorders>
            <w:vAlign w:val="center"/>
          </w:tcPr>
          <w:p w14:paraId="2EA58759">
            <w:pPr>
              <w:widowControl/>
              <w:jc w:val="left"/>
              <w:rPr>
                <w:rFonts w:hint="eastAsia" w:ascii="方正仿宋_GB2312" w:hAnsi="方正仿宋_GB2312" w:eastAsia="方正仿宋_GB2312" w:cs="方正仿宋_GB2312"/>
                <w:kern w:val="0"/>
                <w:sz w:val="21"/>
                <w:szCs w:val="21"/>
              </w:rPr>
            </w:pPr>
          </w:p>
        </w:tc>
        <w:tc>
          <w:tcPr>
            <w:tcW w:w="918" w:type="dxa"/>
            <w:tcBorders>
              <w:top w:val="nil"/>
              <w:left w:val="nil"/>
              <w:bottom w:val="single" w:color="auto" w:sz="4" w:space="0"/>
              <w:right w:val="single" w:color="auto" w:sz="4" w:space="0"/>
            </w:tcBorders>
            <w:vAlign w:val="center"/>
          </w:tcPr>
          <w:p w14:paraId="1F464091">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4</w:t>
            </w:r>
          </w:p>
        </w:tc>
        <w:tc>
          <w:tcPr>
            <w:tcW w:w="774" w:type="dxa"/>
            <w:tcBorders>
              <w:top w:val="nil"/>
              <w:left w:val="nil"/>
              <w:bottom w:val="single" w:color="auto" w:sz="4" w:space="0"/>
              <w:right w:val="single" w:color="auto" w:sz="4" w:space="0"/>
            </w:tcBorders>
            <w:vAlign w:val="center"/>
          </w:tcPr>
          <w:p w14:paraId="6527CF58">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　</w:t>
            </w:r>
          </w:p>
        </w:tc>
        <w:tc>
          <w:tcPr>
            <w:tcW w:w="1148" w:type="dxa"/>
            <w:tcBorders>
              <w:top w:val="nil"/>
              <w:left w:val="nil"/>
              <w:bottom w:val="single" w:color="auto" w:sz="4" w:space="0"/>
              <w:right w:val="single" w:color="auto" w:sz="4" w:space="0"/>
            </w:tcBorders>
            <w:vAlign w:val="center"/>
          </w:tcPr>
          <w:p w14:paraId="434A468C">
            <w:pPr>
              <w:widowControl/>
              <w:jc w:val="center"/>
              <w:rPr>
                <w:rFonts w:hint="eastAsia" w:ascii="方正仿宋_GB2312" w:hAnsi="方正仿宋_GB2312" w:eastAsia="方正仿宋_GB2312" w:cs="方正仿宋_GB2312"/>
                <w:kern w:val="0"/>
                <w:sz w:val="21"/>
                <w:szCs w:val="21"/>
              </w:rPr>
            </w:pPr>
          </w:p>
        </w:tc>
        <w:tc>
          <w:tcPr>
            <w:tcW w:w="986" w:type="dxa"/>
            <w:tcBorders>
              <w:top w:val="nil"/>
              <w:left w:val="nil"/>
              <w:bottom w:val="single" w:color="auto" w:sz="4" w:space="0"/>
              <w:right w:val="single" w:color="auto" w:sz="4" w:space="0"/>
            </w:tcBorders>
            <w:vAlign w:val="center"/>
          </w:tcPr>
          <w:p w14:paraId="13815210">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2</w:t>
            </w:r>
          </w:p>
        </w:tc>
        <w:tc>
          <w:tcPr>
            <w:tcW w:w="971" w:type="dxa"/>
            <w:tcBorders>
              <w:top w:val="nil"/>
              <w:left w:val="nil"/>
              <w:bottom w:val="single" w:color="auto" w:sz="4" w:space="0"/>
              <w:right w:val="single" w:color="auto" w:sz="4" w:space="0"/>
            </w:tcBorders>
            <w:vAlign w:val="center"/>
          </w:tcPr>
          <w:p w14:paraId="6335E430">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16</w:t>
            </w:r>
          </w:p>
        </w:tc>
        <w:tc>
          <w:tcPr>
            <w:tcW w:w="981" w:type="dxa"/>
            <w:tcBorders>
              <w:top w:val="nil"/>
              <w:left w:val="nil"/>
              <w:bottom w:val="single" w:color="auto" w:sz="4" w:space="0"/>
              <w:right w:val="single" w:color="auto" w:sz="4" w:space="0"/>
            </w:tcBorders>
            <w:vAlign w:val="center"/>
          </w:tcPr>
          <w:p w14:paraId="257FDE01">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1</w:t>
            </w:r>
          </w:p>
        </w:tc>
        <w:tc>
          <w:tcPr>
            <w:tcW w:w="851" w:type="dxa"/>
            <w:tcBorders>
              <w:top w:val="nil"/>
              <w:left w:val="nil"/>
              <w:bottom w:val="single" w:color="auto" w:sz="4" w:space="0"/>
              <w:right w:val="double" w:color="auto" w:sz="6" w:space="0"/>
            </w:tcBorders>
            <w:vAlign w:val="center"/>
          </w:tcPr>
          <w:p w14:paraId="35749AAA">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1</w:t>
            </w:r>
          </w:p>
        </w:tc>
        <w:tc>
          <w:tcPr>
            <w:tcW w:w="795" w:type="dxa"/>
            <w:tcBorders>
              <w:top w:val="nil"/>
              <w:left w:val="nil"/>
              <w:bottom w:val="single" w:color="auto" w:sz="4" w:space="0"/>
              <w:right w:val="double" w:color="auto" w:sz="6" w:space="0"/>
            </w:tcBorders>
            <w:vAlign w:val="center"/>
          </w:tcPr>
          <w:p w14:paraId="555E3E7A">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20</w:t>
            </w:r>
          </w:p>
        </w:tc>
      </w:tr>
      <w:tr w14:paraId="1E857D9B">
        <w:tblPrEx>
          <w:tblCellMar>
            <w:top w:w="0" w:type="dxa"/>
            <w:left w:w="108" w:type="dxa"/>
            <w:bottom w:w="0" w:type="dxa"/>
            <w:right w:w="108" w:type="dxa"/>
          </w:tblCellMar>
        </w:tblPrEx>
        <w:trPr>
          <w:trHeight w:val="663" w:hRule="atLeast"/>
        </w:trPr>
        <w:tc>
          <w:tcPr>
            <w:tcW w:w="785" w:type="dxa"/>
            <w:vMerge w:val="restart"/>
            <w:tcBorders>
              <w:top w:val="nil"/>
              <w:left w:val="double" w:color="auto" w:sz="6" w:space="0"/>
              <w:bottom w:val="single" w:color="000000" w:sz="4" w:space="0"/>
              <w:right w:val="single" w:color="auto" w:sz="4" w:space="0"/>
            </w:tcBorders>
            <w:vAlign w:val="center"/>
          </w:tcPr>
          <w:p w14:paraId="7440DB63">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三</w:t>
            </w:r>
          </w:p>
        </w:tc>
        <w:tc>
          <w:tcPr>
            <w:tcW w:w="918" w:type="dxa"/>
            <w:vMerge w:val="restart"/>
            <w:tcBorders>
              <w:top w:val="nil"/>
              <w:left w:val="single" w:color="auto" w:sz="4" w:space="0"/>
              <w:bottom w:val="single" w:color="000000" w:sz="4" w:space="0"/>
              <w:right w:val="single" w:color="auto" w:sz="4" w:space="0"/>
            </w:tcBorders>
            <w:vAlign w:val="center"/>
          </w:tcPr>
          <w:p w14:paraId="772D5C53">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5</w:t>
            </w:r>
          </w:p>
        </w:tc>
        <w:tc>
          <w:tcPr>
            <w:tcW w:w="774" w:type="dxa"/>
            <w:vMerge w:val="restart"/>
            <w:tcBorders>
              <w:top w:val="nil"/>
              <w:left w:val="single" w:color="auto" w:sz="4" w:space="0"/>
              <w:bottom w:val="single" w:color="000000" w:sz="4" w:space="0"/>
              <w:right w:val="single" w:color="auto" w:sz="4" w:space="0"/>
            </w:tcBorders>
            <w:vAlign w:val="center"/>
          </w:tcPr>
          <w:p w14:paraId="223BC3A1">
            <w:pPr>
              <w:widowControl/>
              <w:jc w:val="center"/>
              <w:rPr>
                <w:rFonts w:hint="eastAsia" w:ascii="方正仿宋_GB2312" w:hAnsi="方正仿宋_GB2312" w:eastAsia="方正仿宋_GB2312" w:cs="方正仿宋_GB2312"/>
                <w:kern w:val="0"/>
                <w:sz w:val="21"/>
                <w:szCs w:val="21"/>
              </w:rPr>
            </w:pPr>
          </w:p>
        </w:tc>
        <w:tc>
          <w:tcPr>
            <w:tcW w:w="1148" w:type="dxa"/>
            <w:tcBorders>
              <w:top w:val="single" w:color="auto" w:sz="4" w:space="0"/>
              <w:left w:val="single" w:color="auto" w:sz="4" w:space="0"/>
              <w:bottom w:val="single" w:color="auto" w:sz="4" w:space="0"/>
              <w:right w:val="single" w:color="auto" w:sz="4" w:space="0"/>
            </w:tcBorders>
            <w:vAlign w:val="center"/>
          </w:tcPr>
          <w:p w14:paraId="69CCCB7B">
            <w:pPr>
              <w:widowControl/>
              <w:jc w:val="center"/>
              <w:rPr>
                <w:rFonts w:hint="eastAsia" w:ascii="方正仿宋_GB2312" w:hAnsi="方正仿宋_GB2312" w:eastAsia="方正仿宋_GB2312" w:cs="方正仿宋_GB2312"/>
                <w:kern w:val="0"/>
                <w:sz w:val="21"/>
                <w:szCs w:val="21"/>
              </w:rPr>
            </w:pPr>
          </w:p>
        </w:tc>
        <w:tc>
          <w:tcPr>
            <w:tcW w:w="986" w:type="dxa"/>
            <w:vMerge w:val="restart"/>
            <w:tcBorders>
              <w:top w:val="single" w:color="auto" w:sz="4" w:space="0"/>
              <w:left w:val="single" w:color="auto" w:sz="4" w:space="0"/>
              <w:bottom w:val="single" w:color="auto" w:sz="4" w:space="0"/>
              <w:right w:val="single" w:color="auto" w:sz="4" w:space="0"/>
            </w:tcBorders>
            <w:vAlign w:val="center"/>
          </w:tcPr>
          <w:p w14:paraId="70A71F46">
            <w:pPr>
              <w:widowControl/>
              <w:jc w:val="center"/>
              <w:rPr>
                <w:rFonts w:hint="default" w:ascii="方正仿宋_GB2312" w:hAnsi="方正仿宋_GB2312" w:eastAsia="方正仿宋_GB2312" w:cs="方正仿宋_GB2312"/>
                <w:kern w:val="0"/>
                <w:sz w:val="21"/>
                <w:szCs w:val="21"/>
                <w:lang w:val="en-US" w:eastAsia="zh-CN"/>
              </w:rPr>
            </w:pPr>
            <w:r>
              <w:rPr>
                <w:rFonts w:hint="eastAsia" w:ascii="方正仿宋_GB2312" w:hAnsi="方正仿宋_GB2312" w:eastAsia="方正仿宋_GB2312" w:cs="方正仿宋_GB2312"/>
                <w:kern w:val="0"/>
                <w:sz w:val="21"/>
                <w:szCs w:val="21"/>
                <w:lang w:val="en-US" w:eastAsia="zh-CN"/>
              </w:rPr>
              <w:t>12</w:t>
            </w:r>
          </w:p>
        </w:tc>
        <w:tc>
          <w:tcPr>
            <w:tcW w:w="971" w:type="dxa"/>
            <w:vMerge w:val="restart"/>
            <w:tcBorders>
              <w:top w:val="single" w:color="auto" w:sz="4" w:space="0"/>
              <w:left w:val="single" w:color="auto" w:sz="4" w:space="0"/>
              <w:bottom w:val="single" w:color="auto" w:sz="4" w:space="0"/>
              <w:right w:val="single" w:color="auto" w:sz="4" w:space="0"/>
            </w:tcBorders>
            <w:vAlign w:val="center"/>
          </w:tcPr>
          <w:p w14:paraId="5667A85B">
            <w:pPr>
              <w:widowControl/>
              <w:jc w:val="center"/>
              <w:rPr>
                <w:rFonts w:hint="eastAsia" w:ascii="方正仿宋_GB2312" w:hAnsi="方正仿宋_GB2312" w:eastAsia="方正仿宋_GB2312" w:cs="方正仿宋_GB2312"/>
                <w:kern w:val="0"/>
                <w:sz w:val="21"/>
                <w:szCs w:val="21"/>
                <w:lang w:val="en-US" w:eastAsia="zh-CN"/>
              </w:rPr>
            </w:pPr>
            <w:r>
              <w:rPr>
                <w:rFonts w:hint="eastAsia" w:ascii="方正仿宋_GB2312" w:hAnsi="方正仿宋_GB2312" w:eastAsia="方正仿宋_GB2312" w:cs="方正仿宋_GB2312"/>
                <w:kern w:val="0"/>
                <w:sz w:val="21"/>
                <w:szCs w:val="21"/>
                <w:lang w:val="en-US" w:eastAsia="zh-CN"/>
              </w:rPr>
              <w:t>6</w:t>
            </w:r>
          </w:p>
        </w:tc>
        <w:tc>
          <w:tcPr>
            <w:tcW w:w="981" w:type="dxa"/>
            <w:vMerge w:val="restart"/>
            <w:tcBorders>
              <w:top w:val="single" w:color="auto" w:sz="4" w:space="0"/>
              <w:left w:val="single" w:color="auto" w:sz="4" w:space="0"/>
              <w:bottom w:val="single" w:color="auto" w:sz="4" w:space="0"/>
              <w:right w:val="single" w:color="auto" w:sz="4" w:space="0"/>
            </w:tcBorders>
            <w:vAlign w:val="center"/>
          </w:tcPr>
          <w:p w14:paraId="61B28280">
            <w:pPr>
              <w:widowControl/>
              <w:jc w:val="center"/>
              <w:rPr>
                <w:rFonts w:hint="eastAsia" w:ascii="方正仿宋_GB2312" w:hAnsi="方正仿宋_GB2312" w:eastAsia="方正仿宋_GB2312" w:cs="方正仿宋_GB2312"/>
                <w:kern w:val="0"/>
                <w:sz w:val="21"/>
                <w:szCs w:val="21"/>
                <w:lang w:val="en-US" w:eastAsia="zh-CN"/>
              </w:rPr>
            </w:pPr>
            <w:r>
              <w:rPr>
                <w:rFonts w:hint="eastAsia" w:ascii="方正仿宋_GB2312" w:hAnsi="方正仿宋_GB2312" w:eastAsia="方正仿宋_GB2312" w:cs="方正仿宋_GB2312"/>
                <w:kern w:val="0"/>
                <w:sz w:val="21"/>
                <w:szCs w:val="21"/>
                <w:lang w:val="en-US" w:eastAsia="zh-CN"/>
              </w:rPr>
              <w:t>1</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1845415E">
            <w:pPr>
              <w:widowControl/>
              <w:jc w:val="center"/>
              <w:rPr>
                <w:rFonts w:hint="eastAsia" w:ascii="方正仿宋_GB2312" w:hAnsi="方正仿宋_GB2312" w:eastAsia="方正仿宋_GB2312" w:cs="方正仿宋_GB2312"/>
                <w:kern w:val="0"/>
                <w:sz w:val="21"/>
                <w:szCs w:val="21"/>
                <w:lang w:eastAsia="zh-CN"/>
              </w:rPr>
            </w:pPr>
            <w:r>
              <w:rPr>
                <w:rFonts w:hint="eastAsia" w:ascii="方正仿宋_GB2312" w:hAnsi="方正仿宋_GB2312" w:eastAsia="方正仿宋_GB2312" w:cs="方正仿宋_GB2312"/>
                <w:kern w:val="0"/>
                <w:sz w:val="21"/>
                <w:szCs w:val="21"/>
                <w:lang w:val="en-US" w:eastAsia="zh-CN"/>
              </w:rPr>
              <w:t>1</w:t>
            </w:r>
          </w:p>
        </w:tc>
        <w:tc>
          <w:tcPr>
            <w:tcW w:w="795" w:type="dxa"/>
            <w:vMerge w:val="restart"/>
            <w:tcBorders>
              <w:top w:val="single" w:color="auto" w:sz="4" w:space="0"/>
              <w:left w:val="single" w:color="auto" w:sz="4" w:space="0"/>
              <w:bottom w:val="single" w:color="auto" w:sz="4" w:space="0"/>
              <w:right w:val="single" w:color="auto" w:sz="4" w:space="0"/>
            </w:tcBorders>
            <w:vAlign w:val="center"/>
          </w:tcPr>
          <w:p w14:paraId="33E976F6">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20</w:t>
            </w:r>
          </w:p>
        </w:tc>
      </w:tr>
      <w:tr w14:paraId="063AB710">
        <w:tblPrEx>
          <w:tblCellMar>
            <w:top w:w="0" w:type="dxa"/>
            <w:left w:w="108" w:type="dxa"/>
            <w:bottom w:w="0" w:type="dxa"/>
            <w:right w:w="108" w:type="dxa"/>
          </w:tblCellMar>
        </w:tblPrEx>
        <w:trPr>
          <w:trHeight w:val="544" w:hRule="atLeast"/>
        </w:trPr>
        <w:tc>
          <w:tcPr>
            <w:tcW w:w="785" w:type="dxa"/>
            <w:vMerge w:val="continue"/>
            <w:tcBorders>
              <w:top w:val="nil"/>
              <w:left w:val="double" w:color="auto" w:sz="6" w:space="0"/>
              <w:bottom w:val="single" w:color="000000" w:sz="4" w:space="0"/>
              <w:right w:val="single" w:color="auto" w:sz="4" w:space="0"/>
            </w:tcBorders>
            <w:vAlign w:val="center"/>
          </w:tcPr>
          <w:p w14:paraId="02306CAB">
            <w:pPr>
              <w:widowControl/>
              <w:jc w:val="left"/>
              <w:rPr>
                <w:rFonts w:hint="eastAsia" w:ascii="方正仿宋_GB2312" w:hAnsi="方正仿宋_GB2312" w:eastAsia="方正仿宋_GB2312" w:cs="方正仿宋_GB2312"/>
                <w:kern w:val="0"/>
                <w:sz w:val="21"/>
                <w:szCs w:val="21"/>
              </w:rPr>
            </w:pPr>
          </w:p>
        </w:tc>
        <w:tc>
          <w:tcPr>
            <w:tcW w:w="918" w:type="dxa"/>
            <w:tcBorders>
              <w:top w:val="nil"/>
              <w:left w:val="single" w:color="auto" w:sz="4" w:space="0"/>
              <w:bottom w:val="single" w:color="000000" w:sz="4" w:space="0"/>
              <w:right w:val="single" w:color="auto" w:sz="4" w:space="0"/>
            </w:tcBorders>
            <w:vAlign w:val="center"/>
          </w:tcPr>
          <w:p w14:paraId="16C588EE">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6</w:t>
            </w:r>
          </w:p>
        </w:tc>
        <w:tc>
          <w:tcPr>
            <w:tcW w:w="774" w:type="dxa"/>
            <w:tcBorders>
              <w:top w:val="nil"/>
              <w:left w:val="single" w:color="auto" w:sz="4" w:space="0"/>
              <w:bottom w:val="single" w:color="000000" w:sz="4" w:space="0"/>
              <w:right w:val="single" w:color="auto" w:sz="4" w:space="0"/>
            </w:tcBorders>
            <w:vAlign w:val="center"/>
          </w:tcPr>
          <w:p w14:paraId="3322DDC4">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　</w:t>
            </w:r>
          </w:p>
        </w:tc>
        <w:tc>
          <w:tcPr>
            <w:tcW w:w="1148" w:type="dxa"/>
            <w:tcBorders>
              <w:top w:val="single" w:color="auto" w:sz="4" w:space="0"/>
              <w:left w:val="single" w:color="auto" w:sz="4" w:space="0"/>
              <w:bottom w:val="single" w:color="auto" w:sz="4" w:space="0"/>
              <w:right w:val="single" w:color="auto" w:sz="4" w:space="0"/>
            </w:tcBorders>
            <w:vAlign w:val="center"/>
          </w:tcPr>
          <w:p w14:paraId="5BA287BC">
            <w:pPr>
              <w:widowControl/>
              <w:jc w:val="center"/>
              <w:rPr>
                <w:rFonts w:hint="eastAsia" w:ascii="方正仿宋_GB2312" w:hAnsi="方正仿宋_GB2312" w:eastAsia="方正仿宋_GB2312" w:cs="方正仿宋_GB2312"/>
                <w:kern w:val="0"/>
                <w:sz w:val="21"/>
                <w:szCs w:val="21"/>
              </w:rPr>
            </w:pPr>
          </w:p>
        </w:tc>
        <w:tc>
          <w:tcPr>
            <w:tcW w:w="986" w:type="dxa"/>
            <w:tcBorders>
              <w:top w:val="single" w:color="auto" w:sz="4" w:space="0"/>
              <w:left w:val="single" w:color="auto" w:sz="4" w:space="0"/>
              <w:bottom w:val="single" w:color="auto" w:sz="4" w:space="0"/>
              <w:right w:val="single" w:color="auto" w:sz="4" w:space="0"/>
            </w:tcBorders>
            <w:vAlign w:val="center"/>
          </w:tcPr>
          <w:p w14:paraId="053E27D8">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18</w:t>
            </w:r>
          </w:p>
        </w:tc>
        <w:tc>
          <w:tcPr>
            <w:tcW w:w="971" w:type="dxa"/>
            <w:tcBorders>
              <w:top w:val="single" w:color="auto" w:sz="4" w:space="0"/>
              <w:left w:val="single" w:color="auto" w:sz="4" w:space="0"/>
              <w:bottom w:val="single" w:color="auto" w:sz="4" w:space="0"/>
              <w:right w:val="single" w:color="auto" w:sz="4" w:space="0"/>
            </w:tcBorders>
            <w:vAlign w:val="center"/>
          </w:tcPr>
          <w:p w14:paraId="3C8B3634">
            <w:pPr>
              <w:widowControl/>
              <w:jc w:val="center"/>
              <w:rPr>
                <w:rFonts w:hint="eastAsia" w:ascii="方正仿宋_GB2312" w:hAnsi="方正仿宋_GB2312" w:eastAsia="方正仿宋_GB2312" w:cs="方正仿宋_GB2312"/>
                <w:kern w:val="0"/>
                <w:sz w:val="21"/>
                <w:szCs w:val="21"/>
                <w:lang w:val="en-US" w:eastAsia="zh-CN"/>
              </w:rPr>
            </w:pPr>
            <w:r>
              <w:rPr>
                <w:rFonts w:hint="eastAsia" w:ascii="方正仿宋_GB2312" w:hAnsi="方正仿宋_GB2312" w:eastAsia="方正仿宋_GB2312" w:cs="方正仿宋_GB2312"/>
                <w:kern w:val="0"/>
                <w:sz w:val="21"/>
                <w:szCs w:val="21"/>
                <w:lang w:val="en-US" w:eastAsia="zh-CN"/>
              </w:rPr>
              <w:t>0</w:t>
            </w:r>
          </w:p>
        </w:tc>
        <w:tc>
          <w:tcPr>
            <w:tcW w:w="981" w:type="dxa"/>
            <w:tcBorders>
              <w:top w:val="single" w:color="auto" w:sz="4" w:space="0"/>
              <w:left w:val="single" w:color="auto" w:sz="4" w:space="0"/>
              <w:bottom w:val="single" w:color="auto" w:sz="4" w:space="0"/>
              <w:right w:val="single" w:color="auto" w:sz="4" w:space="0"/>
            </w:tcBorders>
            <w:vAlign w:val="center"/>
          </w:tcPr>
          <w:p w14:paraId="43AB2D3A">
            <w:pPr>
              <w:widowControl/>
              <w:jc w:val="center"/>
              <w:rPr>
                <w:rFonts w:hint="eastAsia" w:ascii="方正仿宋_GB2312" w:hAnsi="方正仿宋_GB2312" w:eastAsia="方正仿宋_GB2312" w:cs="方正仿宋_GB2312"/>
                <w:kern w:val="0"/>
                <w:sz w:val="21"/>
                <w:szCs w:val="21"/>
              </w:rPr>
            </w:pPr>
          </w:p>
        </w:tc>
        <w:tc>
          <w:tcPr>
            <w:tcW w:w="851" w:type="dxa"/>
            <w:tcBorders>
              <w:top w:val="single" w:color="auto" w:sz="4" w:space="0"/>
              <w:left w:val="single" w:color="auto" w:sz="4" w:space="0"/>
              <w:bottom w:val="single" w:color="auto" w:sz="4" w:space="0"/>
              <w:right w:val="single" w:color="auto" w:sz="4" w:space="0"/>
            </w:tcBorders>
            <w:vAlign w:val="center"/>
          </w:tcPr>
          <w:p w14:paraId="18F2D6BA">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2</w:t>
            </w:r>
          </w:p>
        </w:tc>
        <w:tc>
          <w:tcPr>
            <w:tcW w:w="795" w:type="dxa"/>
            <w:tcBorders>
              <w:top w:val="single" w:color="auto" w:sz="4" w:space="0"/>
              <w:left w:val="single" w:color="auto" w:sz="4" w:space="0"/>
              <w:bottom w:val="single" w:color="auto" w:sz="4" w:space="0"/>
              <w:right w:val="single" w:color="auto" w:sz="4" w:space="0"/>
            </w:tcBorders>
            <w:vAlign w:val="center"/>
          </w:tcPr>
          <w:p w14:paraId="37244A14">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20</w:t>
            </w:r>
          </w:p>
        </w:tc>
      </w:tr>
      <w:tr w14:paraId="79BC1CFF">
        <w:tblPrEx>
          <w:tblCellMar>
            <w:top w:w="0" w:type="dxa"/>
            <w:left w:w="108" w:type="dxa"/>
            <w:bottom w:w="0" w:type="dxa"/>
            <w:right w:w="108" w:type="dxa"/>
          </w:tblCellMar>
        </w:tblPrEx>
        <w:trPr>
          <w:trHeight w:val="445" w:hRule="atLeast"/>
        </w:trPr>
        <w:tc>
          <w:tcPr>
            <w:tcW w:w="1703" w:type="dxa"/>
            <w:gridSpan w:val="2"/>
            <w:tcBorders>
              <w:top w:val="single" w:color="auto" w:sz="4" w:space="0"/>
              <w:left w:val="double" w:color="auto" w:sz="6" w:space="0"/>
              <w:bottom w:val="double" w:color="auto" w:sz="6" w:space="0"/>
              <w:right w:val="single" w:color="auto" w:sz="4" w:space="0"/>
            </w:tcBorders>
            <w:vAlign w:val="center"/>
          </w:tcPr>
          <w:p w14:paraId="158D9378">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总计</w:t>
            </w:r>
          </w:p>
        </w:tc>
        <w:tc>
          <w:tcPr>
            <w:tcW w:w="774" w:type="dxa"/>
            <w:tcBorders>
              <w:top w:val="nil"/>
              <w:left w:val="nil"/>
              <w:bottom w:val="double" w:color="auto" w:sz="6" w:space="0"/>
              <w:right w:val="single" w:color="auto" w:sz="4" w:space="0"/>
            </w:tcBorders>
            <w:vAlign w:val="center"/>
          </w:tcPr>
          <w:p w14:paraId="735F0DF9">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2</w:t>
            </w:r>
          </w:p>
        </w:tc>
        <w:tc>
          <w:tcPr>
            <w:tcW w:w="1148" w:type="dxa"/>
            <w:tcBorders>
              <w:top w:val="single" w:color="auto" w:sz="4" w:space="0"/>
              <w:left w:val="single" w:color="auto" w:sz="4" w:space="0"/>
              <w:bottom w:val="single" w:color="auto" w:sz="4" w:space="0"/>
              <w:right w:val="single" w:color="auto" w:sz="4" w:space="0"/>
            </w:tcBorders>
            <w:vAlign w:val="center"/>
          </w:tcPr>
          <w:p w14:paraId="20A8102E">
            <w:pPr>
              <w:widowControl/>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1</w:t>
            </w:r>
          </w:p>
        </w:tc>
        <w:tc>
          <w:tcPr>
            <w:tcW w:w="986" w:type="dxa"/>
            <w:tcBorders>
              <w:top w:val="single" w:color="auto" w:sz="4" w:space="0"/>
              <w:left w:val="single" w:color="auto" w:sz="4" w:space="0"/>
              <w:bottom w:val="single" w:color="auto" w:sz="4" w:space="0"/>
              <w:right w:val="single" w:color="auto" w:sz="4" w:space="0"/>
            </w:tcBorders>
            <w:vAlign w:val="center"/>
          </w:tcPr>
          <w:p w14:paraId="6A817EF6">
            <w:pPr>
              <w:widowControl/>
              <w:jc w:val="center"/>
              <w:rPr>
                <w:rFonts w:hint="eastAsia" w:ascii="方正仿宋_GB2312" w:hAnsi="方正仿宋_GB2312" w:eastAsia="方正仿宋_GB2312" w:cs="方正仿宋_GB2312"/>
                <w:kern w:val="0"/>
                <w:sz w:val="21"/>
                <w:szCs w:val="21"/>
                <w:lang w:eastAsia="zh-CN"/>
              </w:rPr>
            </w:pPr>
            <w:r>
              <w:rPr>
                <w:rFonts w:hint="eastAsia" w:ascii="方正仿宋_GB2312" w:hAnsi="方正仿宋_GB2312" w:eastAsia="方正仿宋_GB2312" w:cs="方正仿宋_GB2312"/>
                <w:kern w:val="0"/>
                <w:sz w:val="21"/>
                <w:szCs w:val="21"/>
              </w:rPr>
              <w:t>4</w:t>
            </w:r>
            <w:r>
              <w:rPr>
                <w:rFonts w:hint="eastAsia" w:ascii="方正仿宋_GB2312" w:hAnsi="方正仿宋_GB2312" w:eastAsia="方正仿宋_GB2312" w:cs="方正仿宋_GB2312"/>
                <w:kern w:val="0"/>
                <w:sz w:val="21"/>
                <w:szCs w:val="21"/>
                <w:lang w:val="en-US" w:eastAsia="zh-CN"/>
              </w:rPr>
              <w:t>2</w:t>
            </w:r>
          </w:p>
        </w:tc>
        <w:tc>
          <w:tcPr>
            <w:tcW w:w="971" w:type="dxa"/>
            <w:tcBorders>
              <w:top w:val="single" w:color="auto" w:sz="4" w:space="0"/>
              <w:left w:val="single" w:color="auto" w:sz="4" w:space="0"/>
              <w:bottom w:val="single" w:color="auto" w:sz="4" w:space="0"/>
              <w:right w:val="single" w:color="auto" w:sz="4" w:space="0"/>
            </w:tcBorders>
            <w:vAlign w:val="center"/>
          </w:tcPr>
          <w:p w14:paraId="04F0A3CC">
            <w:pPr>
              <w:widowControl/>
              <w:jc w:val="center"/>
              <w:rPr>
                <w:rFonts w:hint="eastAsia" w:ascii="方正仿宋_GB2312" w:hAnsi="方正仿宋_GB2312" w:eastAsia="方正仿宋_GB2312" w:cs="方正仿宋_GB2312"/>
                <w:kern w:val="0"/>
                <w:sz w:val="21"/>
                <w:szCs w:val="21"/>
                <w:lang w:eastAsia="zh-CN"/>
              </w:rPr>
            </w:pPr>
            <w:r>
              <w:rPr>
                <w:rFonts w:hint="eastAsia" w:ascii="方正仿宋_GB2312" w:hAnsi="方正仿宋_GB2312" w:eastAsia="方正仿宋_GB2312" w:cs="方正仿宋_GB2312"/>
                <w:kern w:val="0"/>
                <w:sz w:val="21"/>
                <w:szCs w:val="21"/>
              </w:rPr>
              <w:t>6</w:t>
            </w:r>
            <w:r>
              <w:rPr>
                <w:rFonts w:hint="eastAsia" w:ascii="方正仿宋_GB2312" w:hAnsi="方正仿宋_GB2312" w:eastAsia="方正仿宋_GB2312" w:cs="方正仿宋_GB2312"/>
                <w:kern w:val="0"/>
                <w:sz w:val="21"/>
                <w:szCs w:val="21"/>
                <w:lang w:val="en-US" w:eastAsia="zh-CN"/>
              </w:rPr>
              <w:t>5</w:t>
            </w:r>
          </w:p>
        </w:tc>
        <w:tc>
          <w:tcPr>
            <w:tcW w:w="981" w:type="dxa"/>
            <w:tcBorders>
              <w:top w:val="single" w:color="auto" w:sz="4" w:space="0"/>
              <w:left w:val="single" w:color="auto" w:sz="4" w:space="0"/>
              <w:bottom w:val="single" w:color="auto" w:sz="4" w:space="0"/>
              <w:right w:val="single" w:color="auto" w:sz="4" w:space="0"/>
            </w:tcBorders>
            <w:vAlign w:val="center"/>
          </w:tcPr>
          <w:p w14:paraId="1EC88953">
            <w:pPr>
              <w:widowControl/>
              <w:rPr>
                <w:rFonts w:hint="eastAsia" w:ascii="方正仿宋_GB2312" w:hAnsi="方正仿宋_GB2312" w:eastAsia="方正仿宋_GB2312" w:cs="方正仿宋_GB2312"/>
                <w:kern w:val="0"/>
                <w:sz w:val="21"/>
                <w:szCs w:val="21"/>
                <w:lang w:eastAsia="zh-CN"/>
              </w:rPr>
            </w:pPr>
            <w:r>
              <w:rPr>
                <w:rFonts w:hint="eastAsia" w:ascii="方正仿宋_GB2312" w:hAnsi="方正仿宋_GB2312" w:eastAsia="方正仿宋_GB2312" w:cs="方正仿宋_GB2312"/>
                <w:kern w:val="0"/>
                <w:sz w:val="21"/>
                <w:szCs w:val="21"/>
                <w:lang w:val="en-US" w:eastAsia="zh-CN"/>
              </w:rPr>
              <w:t>5</w:t>
            </w:r>
          </w:p>
        </w:tc>
        <w:tc>
          <w:tcPr>
            <w:tcW w:w="851" w:type="dxa"/>
            <w:tcBorders>
              <w:top w:val="single" w:color="auto" w:sz="4" w:space="0"/>
              <w:left w:val="single" w:color="auto" w:sz="4" w:space="0"/>
              <w:bottom w:val="single" w:color="auto" w:sz="4" w:space="0"/>
              <w:right w:val="single" w:color="auto" w:sz="4" w:space="0"/>
            </w:tcBorders>
            <w:vAlign w:val="center"/>
          </w:tcPr>
          <w:p w14:paraId="0E49022F">
            <w:pPr>
              <w:widowControl/>
              <w:tabs>
                <w:tab w:val="center" w:pos="377"/>
                <w:tab w:val="left" w:pos="596"/>
              </w:tabs>
              <w:jc w:val="left"/>
              <w:rPr>
                <w:rFonts w:hint="eastAsia" w:ascii="方正仿宋_GB2312" w:hAnsi="方正仿宋_GB2312" w:eastAsia="方正仿宋_GB2312" w:cs="方正仿宋_GB2312"/>
                <w:kern w:val="0"/>
                <w:sz w:val="21"/>
                <w:szCs w:val="21"/>
                <w:lang w:eastAsia="zh-CN"/>
              </w:rPr>
            </w:pPr>
            <w:r>
              <w:rPr>
                <w:rFonts w:hint="eastAsia" w:ascii="方正仿宋_GB2312" w:hAnsi="方正仿宋_GB2312" w:eastAsia="方正仿宋_GB2312" w:cs="方正仿宋_GB2312"/>
                <w:kern w:val="0"/>
                <w:sz w:val="21"/>
                <w:szCs w:val="21"/>
              </w:rPr>
              <w:tab/>
            </w:r>
            <w:r>
              <w:rPr>
                <w:rFonts w:hint="eastAsia" w:ascii="方正仿宋_GB2312" w:hAnsi="方正仿宋_GB2312" w:eastAsia="方正仿宋_GB2312" w:cs="方正仿宋_GB2312"/>
                <w:kern w:val="0"/>
                <w:sz w:val="21"/>
                <w:szCs w:val="21"/>
                <w:lang w:val="en-US" w:eastAsia="zh-CN"/>
              </w:rPr>
              <w:t>7</w:t>
            </w:r>
          </w:p>
        </w:tc>
        <w:tc>
          <w:tcPr>
            <w:tcW w:w="795" w:type="dxa"/>
            <w:tcBorders>
              <w:top w:val="single" w:color="auto" w:sz="4" w:space="0"/>
              <w:left w:val="single" w:color="auto" w:sz="4" w:space="0"/>
              <w:bottom w:val="single" w:color="auto" w:sz="4" w:space="0"/>
              <w:right w:val="single" w:color="auto" w:sz="4" w:space="0"/>
            </w:tcBorders>
            <w:vAlign w:val="center"/>
          </w:tcPr>
          <w:p w14:paraId="21E56E10">
            <w:pPr>
              <w:widowControl/>
              <w:jc w:val="center"/>
              <w:rPr>
                <w:rFonts w:hint="default" w:ascii="方正仿宋_GB2312" w:hAnsi="方正仿宋_GB2312" w:eastAsia="方正仿宋_GB2312" w:cs="方正仿宋_GB2312"/>
                <w:kern w:val="0"/>
                <w:sz w:val="21"/>
                <w:szCs w:val="21"/>
                <w:lang w:val="en-US" w:eastAsia="zh-CN"/>
              </w:rPr>
            </w:pPr>
            <w:r>
              <w:rPr>
                <w:rFonts w:hint="eastAsia" w:ascii="方正仿宋_GB2312" w:hAnsi="方正仿宋_GB2312" w:eastAsia="方正仿宋_GB2312" w:cs="方正仿宋_GB2312"/>
                <w:kern w:val="0"/>
                <w:sz w:val="21"/>
                <w:szCs w:val="21"/>
                <w:lang w:val="en-US" w:eastAsia="zh-CN"/>
              </w:rPr>
              <w:t>120</w:t>
            </w:r>
          </w:p>
        </w:tc>
      </w:tr>
    </w:tbl>
    <w:p w14:paraId="7051E20A">
      <w:pPr>
        <w:pStyle w:val="12"/>
        <w:numPr>
          <w:ilvl w:val="0"/>
          <w:numId w:val="0"/>
        </w:numPr>
        <w:spacing w:line="520" w:lineRule="exact"/>
        <w:outlineLvl w:val="1"/>
        <w:rPr>
          <w:rFonts w:hint="eastAsia" w:ascii="黑体" w:hAnsi="黑体" w:eastAsia="黑体" w:cs="黑体"/>
          <w:bCs/>
          <w:sz w:val="24"/>
        </w:rPr>
      </w:pPr>
      <w:r>
        <w:rPr>
          <w:rFonts w:hint="eastAsia" w:ascii="黑体" w:hAnsi="黑体" w:eastAsia="黑体" w:cs="黑体"/>
          <w:bCs/>
          <w:sz w:val="24"/>
          <w:lang w:eastAsia="zh-CN"/>
        </w:rPr>
        <w:t>（</w:t>
      </w:r>
      <w:r>
        <w:rPr>
          <w:rFonts w:hint="eastAsia" w:ascii="黑体" w:hAnsi="黑体" w:eastAsia="黑体" w:cs="黑体"/>
          <w:bCs/>
          <w:sz w:val="24"/>
          <w:lang w:val="en-US" w:eastAsia="zh-CN"/>
        </w:rPr>
        <w:t>二</w:t>
      </w:r>
      <w:r>
        <w:rPr>
          <w:rFonts w:hint="eastAsia" w:ascii="黑体" w:hAnsi="黑体" w:eastAsia="黑体" w:cs="黑体"/>
          <w:bCs/>
          <w:sz w:val="24"/>
          <w:lang w:eastAsia="zh-CN"/>
        </w:rPr>
        <w:t>）</w:t>
      </w:r>
      <w:r>
        <w:rPr>
          <w:rFonts w:hint="eastAsia" w:ascii="黑体" w:hAnsi="黑体" w:eastAsia="黑体" w:cs="黑体"/>
          <w:bCs/>
          <w:sz w:val="24"/>
        </w:rPr>
        <w:t>教学进程表</w:t>
      </w:r>
      <w:bookmarkStart w:id="11" w:name="_GoBack"/>
      <w:bookmarkEnd w:id="11"/>
    </w:p>
    <w:p w14:paraId="10598D07">
      <w:pPr>
        <w:pStyle w:val="12"/>
        <w:ind w:firstLine="0" w:firstLineChars="0"/>
        <w:jc w:val="center"/>
        <w:rPr>
          <w:rFonts w:hint="eastAsia" w:ascii="楷体" w:hAnsi="楷体" w:eastAsia="楷体" w:cs="楷体"/>
          <w:b/>
          <w:szCs w:val="32"/>
        </w:rPr>
      </w:pPr>
      <w:r>
        <w:rPr>
          <w:rFonts w:hint="eastAsia" w:ascii="宋体" w:hAnsi="宋体" w:eastAsia="宋体" w:cs="宋体"/>
          <w:b/>
          <w:bCs/>
          <w:sz w:val="24"/>
        </w:rPr>
        <w:t>表6 各类课程学时（学分）比例表</w:t>
      </w:r>
    </w:p>
    <w:tbl>
      <w:tblPr>
        <w:tblStyle w:val="8"/>
        <w:tblW w:w="8008" w:type="dxa"/>
        <w:tblInd w:w="282" w:type="dxa"/>
        <w:tblLayout w:type="fixed"/>
        <w:tblCellMar>
          <w:top w:w="0" w:type="dxa"/>
          <w:left w:w="108" w:type="dxa"/>
          <w:bottom w:w="0" w:type="dxa"/>
          <w:right w:w="108" w:type="dxa"/>
        </w:tblCellMar>
      </w:tblPr>
      <w:tblGrid>
        <w:gridCol w:w="1008"/>
        <w:gridCol w:w="1698"/>
        <w:gridCol w:w="1404"/>
        <w:gridCol w:w="1312"/>
        <w:gridCol w:w="1448"/>
        <w:gridCol w:w="1138"/>
      </w:tblGrid>
      <w:tr w14:paraId="4EE293BB">
        <w:tblPrEx>
          <w:tblCellMar>
            <w:top w:w="0" w:type="dxa"/>
            <w:left w:w="108" w:type="dxa"/>
            <w:bottom w:w="0" w:type="dxa"/>
            <w:right w:w="108" w:type="dxa"/>
          </w:tblCellMar>
        </w:tblPrEx>
        <w:trPr>
          <w:trHeight w:val="742" w:hRule="atLeast"/>
        </w:trPr>
        <w:tc>
          <w:tcPr>
            <w:tcW w:w="2706" w:type="dxa"/>
            <w:gridSpan w:val="2"/>
            <w:tcBorders>
              <w:top w:val="single" w:color="000000" w:sz="4" w:space="0"/>
              <w:left w:val="single" w:color="000000" w:sz="8" w:space="0"/>
              <w:bottom w:val="single" w:color="000000" w:sz="4" w:space="0"/>
              <w:right w:val="single" w:color="000000" w:sz="4" w:space="0"/>
            </w:tcBorders>
            <w:shd w:val="clear" w:color="auto" w:fill="D7D7D7"/>
            <w:vAlign w:val="center"/>
          </w:tcPr>
          <w:p w14:paraId="5683EE87">
            <w:pPr>
              <w:jc w:val="center"/>
              <w:rPr>
                <w:rFonts w:hint="eastAsia" w:ascii="方正仿宋_GB2312" w:hAnsi="方正仿宋_GB2312" w:eastAsia="方正仿宋_GB2312" w:cs="方正仿宋_GB2312"/>
                <w:b/>
                <w:bCs/>
                <w:sz w:val="21"/>
                <w:szCs w:val="21"/>
              </w:rPr>
            </w:pPr>
            <w:r>
              <w:rPr>
                <w:rFonts w:hint="eastAsia" w:ascii="方正仿宋_GB2312" w:hAnsi="方正仿宋_GB2312" w:eastAsia="方正仿宋_GB2312" w:cs="方正仿宋_GB2312"/>
                <w:b/>
                <w:bCs/>
                <w:kern w:val="0"/>
                <w:sz w:val="21"/>
                <w:szCs w:val="21"/>
              </w:rPr>
              <w:t>课程模块</w:t>
            </w:r>
          </w:p>
        </w:tc>
        <w:tc>
          <w:tcPr>
            <w:tcW w:w="1404"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1E629899">
            <w:pPr>
              <w:widowControl/>
              <w:jc w:val="center"/>
              <w:textAlignment w:val="center"/>
              <w:rPr>
                <w:rFonts w:hint="eastAsia" w:ascii="方正仿宋_GB2312" w:hAnsi="方正仿宋_GB2312" w:eastAsia="方正仿宋_GB2312" w:cs="方正仿宋_GB2312"/>
                <w:b/>
                <w:bCs/>
                <w:sz w:val="21"/>
                <w:szCs w:val="21"/>
              </w:rPr>
            </w:pPr>
            <w:r>
              <w:rPr>
                <w:rFonts w:hint="eastAsia" w:ascii="方正仿宋_GB2312" w:hAnsi="方正仿宋_GB2312" w:eastAsia="方正仿宋_GB2312" w:cs="方正仿宋_GB2312"/>
                <w:b/>
                <w:bCs/>
                <w:kern w:val="0"/>
                <w:sz w:val="21"/>
                <w:szCs w:val="21"/>
              </w:rPr>
              <w:t>总学时</w:t>
            </w:r>
          </w:p>
        </w:tc>
        <w:tc>
          <w:tcPr>
            <w:tcW w:w="1312"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4784DA1B">
            <w:pPr>
              <w:widowControl/>
              <w:jc w:val="center"/>
              <w:textAlignment w:val="center"/>
              <w:rPr>
                <w:rFonts w:hint="eastAsia" w:ascii="方正仿宋_GB2312" w:hAnsi="方正仿宋_GB2312" w:eastAsia="方正仿宋_GB2312" w:cs="方正仿宋_GB2312"/>
                <w:b/>
                <w:bCs/>
                <w:sz w:val="21"/>
                <w:szCs w:val="21"/>
              </w:rPr>
            </w:pPr>
            <w:r>
              <w:rPr>
                <w:rFonts w:hint="eastAsia" w:ascii="方正仿宋_GB2312" w:hAnsi="方正仿宋_GB2312" w:eastAsia="方正仿宋_GB2312" w:cs="方正仿宋_GB2312"/>
                <w:b/>
                <w:bCs/>
                <w:kern w:val="0"/>
                <w:sz w:val="21"/>
                <w:szCs w:val="21"/>
                <w:lang w:val="en-US" w:eastAsia="zh-CN"/>
              </w:rPr>
              <w:t>理论</w:t>
            </w:r>
            <w:r>
              <w:rPr>
                <w:rFonts w:hint="eastAsia" w:ascii="方正仿宋_GB2312" w:hAnsi="方正仿宋_GB2312" w:eastAsia="方正仿宋_GB2312" w:cs="方正仿宋_GB2312"/>
                <w:b/>
                <w:bCs/>
                <w:kern w:val="0"/>
                <w:sz w:val="21"/>
                <w:szCs w:val="21"/>
              </w:rPr>
              <w:t>学时</w:t>
            </w:r>
          </w:p>
        </w:tc>
        <w:tc>
          <w:tcPr>
            <w:tcW w:w="1448" w:type="dxa"/>
            <w:tcBorders>
              <w:top w:val="single" w:color="000000" w:sz="4" w:space="0"/>
              <w:left w:val="single" w:color="000000" w:sz="4" w:space="0"/>
              <w:bottom w:val="single" w:color="000000" w:sz="4" w:space="0"/>
              <w:right w:val="single" w:color="000000" w:sz="4" w:space="0"/>
            </w:tcBorders>
            <w:shd w:val="clear" w:color="auto" w:fill="D7D7D7"/>
            <w:vAlign w:val="center"/>
          </w:tcPr>
          <w:p w14:paraId="4EB0244F">
            <w:pPr>
              <w:widowControl/>
              <w:jc w:val="center"/>
              <w:textAlignment w:val="center"/>
              <w:rPr>
                <w:rFonts w:hint="eastAsia" w:ascii="方正仿宋_GB2312" w:hAnsi="方正仿宋_GB2312" w:eastAsia="方正仿宋_GB2312" w:cs="方正仿宋_GB2312"/>
                <w:b/>
                <w:bCs/>
                <w:sz w:val="21"/>
                <w:szCs w:val="21"/>
              </w:rPr>
            </w:pPr>
            <w:r>
              <w:rPr>
                <w:rFonts w:hint="eastAsia" w:ascii="方正仿宋_GB2312" w:hAnsi="方正仿宋_GB2312" w:eastAsia="方正仿宋_GB2312" w:cs="方正仿宋_GB2312"/>
                <w:b/>
                <w:bCs/>
                <w:kern w:val="0"/>
                <w:sz w:val="21"/>
                <w:szCs w:val="21"/>
              </w:rPr>
              <w:t>实践学时</w:t>
            </w:r>
          </w:p>
        </w:tc>
        <w:tc>
          <w:tcPr>
            <w:tcW w:w="1138" w:type="dxa"/>
            <w:tcBorders>
              <w:top w:val="single" w:color="000000" w:sz="4" w:space="0"/>
              <w:left w:val="single" w:color="000000" w:sz="4" w:space="0"/>
              <w:bottom w:val="single" w:color="000000" w:sz="4" w:space="0"/>
              <w:right w:val="single" w:color="000000" w:sz="8" w:space="0"/>
            </w:tcBorders>
            <w:shd w:val="clear" w:color="auto" w:fill="D7D7D7"/>
            <w:vAlign w:val="center"/>
          </w:tcPr>
          <w:p w14:paraId="566DD71F">
            <w:pPr>
              <w:widowControl/>
              <w:jc w:val="center"/>
              <w:textAlignment w:val="center"/>
              <w:rPr>
                <w:rFonts w:hint="eastAsia" w:ascii="方正仿宋_GB2312" w:hAnsi="方正仿宋_GB2312" w:eastAsia="方正仿宋_GB2312" w:cs="方正仿宋_GB2312"/>
                <w:b/>
                <w:bCs/>
                <w:sz w:val="21"/>
                <w:szCs w:val="21"/>
                <w:lang w:eastAsia="zh-CN"/>
              </w:rPr>
            </w:pPr>
            <w:r>
              <w:rPr>
                <w:rFonts w:hint="eastAsia" w:ascii="方正仿宋_GB2312" w:hAnsi="方正仿宋_GB2312" w:eastAsia="方正仿宋_GB2312" w:cs="方正仿宋_GB2312"/>
                <w:b/>
                <w:bCs/>
                <w:kern w:val="0"/>
                <w:sz w:val="21"/>
                <w:szCs w:val="21"/>
                <w:lang w:val="en-US" w:eastAsia="zh-CN"/>
              </w:rPr>
              <w:t>学时占比</w:t>
            </w:r>
          </w:p>
        </w:tc>
      </w:tr>
      <w:tr w14:paraId="0E2CBD48">
        <w:tblPrEx>
          <w:tblCellMar>
            <w:top w:w="0" w:type="dxa"/>
            <w:left w:w="108" w:type="dxa"/>
            <w:bottom w:w="0" w:type="dxa"/>
            <w:right w:w="108" w:type="dxa"/>
          </w:tblCellMar>
        </w:tblPrEx>
        <w:trPr>
          <w:trHeight w:val="419" w:hRule="atLeast"/>
        </w:trPr>
        <w:tc>
          <w:tcPr>
            <w:tcW w:w="1008" w:type="dxa"/>
            <w:vMerge w:val="restart"/>
            <w:tcBorders>
              <w:top w:val="single" w:color="000000" w:sz="4" w:space="0"/>
              <w:left w:val="single" w:color="000000" w:sz="8" w:space="0"/>
              <w:bottom w:val="single" w:color="000000" w:sz="4" w:space="0"/>
              <w:right w:val="single" w:color="000000" w:sz="4" w:space="0"/>
            </w:tcBorders>
            <w:vAlign w:val="center"/>
          </w:tcPr>
          <w:p w14:paraId="654A541C">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kern w:val="0"/>
                <w:sz w:val="21"/>
                <w:szCs w:val="21"/>
                <w:lang w:val="en-US" w:eastAsia="zh-CN"/>
              </w:rPr>
              <w:t>公共基础课</w:t>
            </w:r>
          </w:p>
        </w:tc>
        <w:tc>
          <w:tcPr>
            <w:tcW w:w="1698" w:type="dxa"/>
            <w:tcBorders>
              <w:top w:val="single" w:color="000000" w:sz="4" w:space="0"/>
              <w:left w:val="single" w:color="000000" w:sz="4" w:space="0"/>
              <w:bottom w:val="single" w:color="000000" w:sz="4" w:space="0"/>
              <w:right w:val="single" w:color="000000" w:sz="4" w:space="0"/>
            </w:tcBorders>
            <w:vAlign w:val="center"/>
          </w:tcPr>
          <w:p w14:paraId="6F899494">
            <w:pPr>
              <w:pStyle w:val="12"/>
              <w:ind w:left="360" w:hanging="360" w:firstLineChars="0"/>
              <w:jc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bCs/>
                <w:sz w:val="21"/>
                <w:szCs w:val="21"/>
                <w:lang w:val="en-US" w:eastAsia="zh-CN"/>
              </w:rPr>
              <w:t>公共必修课</w:t>
            </w:r>
          </w:p>
        </w:tc>
        <w:tc>
          <w:tcPr>
            <w:tcW w:w="1404" w:type="dxa"/>
            <w:tcBorders>
              <w:top w:val="single" w:color="000000" w:sz="4" w:space="0"/>
              <w:left w:val="single" w:color="000000" w:sz="4" w:space="0"/>
              <w:bottom w:val="single" w:color="000000" w:sz="4" w:space="0"/>
              <w:right w:val="single" w:color="000000" w:sz="4" w:space="0"/>
            </w:tcBorders>
            <w:vAlign w:val="center"/>
          </w:tcPr>
          <w:p w14:paraId="0C15ECE0">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564</w:t>
            </w:r>
          </w:p>
        </w:tc>
        <w:tc>
          <w:tcPr>
            <w:tcW w:w="1312" w:type="dxa"/>
            <w:tcBorders>
              <w:top w:val="single" w:color="000000" w:sz="4" w:space="0"/>
              <w:left w:val="single" w:color="000000" w:sz="4" w:space="0"/>
              <w:bottom w:val="single" w:color="000000" w:sz="4" w:space="0"/>
              <w:right w:val="single" w:color="000000" w:sz="4" w:space="0"/>
            </w:tcBorders>
            <w:vAlign w:val="center"/>
          </w:tcPr>
          <w:p w14:paraId="402D11A3">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426</w:t>
            </w:r>
          </w:p>
        </w:tc>
        <w:tc>
          <w:tcPr>
            <w:tcW w:w="1448" w:type="dxa"/>
            <w:tcBorders>
              <w:top w:val="single" w:color="000000" w:sz="4" w:space="0"/>
              <w:left w:val="single" w:color="000000" w:sz="4" w:space="0"/>
              <w:bottom w:val="single" w:color="000000" w:sz="4" w:space="0"/>
              <w:right w:val="single" w:color="000000" w:sz="4" w:space="0"/>
            </w:tcBorders>
            <w:vAlign w:val="center"/>
          </w:tcPr>
          <w:p w14:paraId="1C0A5FE7">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138</w:t>
            </w:r>
          </w:p>
        </w:tc>
        <w:tc>
          <w:tcPr>
            <w:tcW w:w="1138" w:type="dxa"/>
            <w:tcBorders>
              <w:top w:val="single" w:color="000000" w:sz="4" w:space="0"/>
              <w:left w:val="single" w:color="000000" w:sz="4" w:space="0"/>
              <w:bottom w:val="single" w:color="000000" w:sz="4" w:space="0"/>
              <w:right w:val="single" w:color="000000" w:sz="8" w:space="0"/>
            </w:tcBorders>
            <w:vAlign w:val="center"/>
          </w:tcPr>
          <w:p w14:paraId="550DD18C">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21.33%</w:t>
            </w:r>
          </w:p>
        </w:tc>
      </w:tr>
      <w:tr w14:paraId="0B4573A1">
        <w:tblPrEx>
          <w:tblCellMar>
            <w:top w:w="0" w:type="dxa"/>
            <w:left w:w="108" w:type="dxa"/>
            <w:bottom w:w="0" w:type="dxa"/>
            <w:right w:w="108" w:type="dxa"/>
          </w:tblCellMar>
        </w:tblPrEx>
        <w:trPr>
          <w:trHeight w:val="394" w:hRule="atLeast"/>
        </w:trPr>
        <w:tc>
          <w:tcPr>
            <w:tcW w:w="1008" w:type="dxa"/>
            <w:vMerge w:val="continue"/>
            <w:tcBorders>
              <w:top w:val="single" w:color="000000" w:sz="4" w:space="0"/>
              <w:left w:val="single" w:color="000000" w:sz="8" w:space="0"/>
              <w:bottom w:val="single" w:color="000000" w:sz="4" w:space="0"/>
              <w:right w:val="single" w:color="000000" w:sz="4" w:space="0"/>
            </w:tcBorders>
            <w:vAlign w:val="center"/>
          </w:tcPr>
          <w:p w14:paraId="65662954">
            <w:pPr>
              <w:jc w:val="center"/>
              <w:rPr>
                <w:rFonts w:hint="eastAsia" w:ascii="方正仿宋_GB2312" w:hAnsi="方正仿宋_GB2312" w:eastAsia="方正仿宋_GB2312" w:cs="方正仿宋_GB2312"/>
                <w:sz w:val="21"/>
                <w:szCs w:val="21"/>
              </w:rPr>
            </w:pPr>
          </w:p>
        </w:tc>
        <w:tc>
          <w:tcPr>
            <w:tcW w:w="1698" w:type="dxa"/>
            <w:tcBorders>
              <w:top w:val="single" w:color="000000" w:sz="4" w:space="0"/>
              <w:left w:val="single" w:color="000000" w:sz="4" w:space="0"/>
              <w:bottom w:val="single" w:color="000000" w:sz="4" w:space="0"/>
              <w:right w:val="single" w:color="000000" w:sz="4" w:space="0"/>
            </w:tcBorders>
            <w:vAlign w:val="center"/>
          </w:tcPr>
          <w:p w14:paraId="1B4C61DF">
            <w:pPr>
              <w:pStyle w:val="12"/>
              <w:ind w:left="360" w:hanging="360" w:firstLineChars="0"/>
              <w:jc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bCs/>
                <w:sz w:val="21"/>
                <w:szCs w:val="21"/>
                <w:lang w:val="en-US" w:eastAsia="zh-CN"/>
              </w:rPr>
              <w:t>公共限选课</w:t>
            </w:r>
          </w:p>
        </w:tc>
        <w:tc>
          <w:tcPr>
            <w:tcW w:w="1404" w:type="dxa"/>
            <w:tcBorders>
              <w:top w:val="single" w:color="000000" w:sz="4" w:space="0"/>
              <w:left w:val="single" w:color="000000" w:sz="4" w:space="0"/>
              <w:bottom w:val="single" w:color="000000" w:sz="4" w:space="0"/>
              <w:right w:val="single" w:color="000000" w:sz="4" w:space="0"/>
            </w:tcBorders>
            <w:vAlign w:val="center"/>
          </w:tcPr>
          <w:p w14:paraId="5C536022">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112</w:t>
            </w:r>
          </w:p>
        </w:tc>
        <w:tc>
          <w:tcPr>
            <w:tcW w:w="1312" w:type="dxa"/>
            <w:tcBorders>
              <w:top w:val="single" w:color="000000" w:sz="4" w:space="0"/>
              <w:left w:val="single" w:color="000000" w:sz="4" w:space="0"/>
              <w:bottom w:val="single" w:color="000000" w:sz="4" w:space="0"/>
              <w:right w:val="single" w:color="000000" w:sz="4" w:space="0"/>
            </w:tcBorders>
            <w:vAlign w:val="center"/>
          </w:tcPr>
          <w:p w14:paraId="059BD411">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112</w:t>
            </w:r>
          </w:p>
        </w:tc>
        <w:tc>
          <w:tcPr>
            <w:tcW w:w="1448" w:type="dxa"/>
            <w:tcBorders>
              <w:top w:val="single" w:color="000000" w:sz="4" w:space="0"/>
              <w:left w:val="single" w:color="000000" w:sz="4" w:space="0"/>
              <w:bottom w:val="single" w:color="000000" w:sz="4" w:space="0"/>
              <w:right w:val="single" w:color="000000" w:sz="4" w:space="0"/>
            </w:tcBorders>
            <w:vAlign w:val="center"/>
          </w:tcPr>
          <w:p w14:paraId="4623503D">
            <w:pPr>
              <w:widowControl/>
              <w:jc w:val="center"/>
              <w:textAlignment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0</w:t>
            </w:r>
          </w:p>
        </w:tc>
        <w:tc>
          <w:tcPr>
            <w:tcW w:w="1138" w:type="dxa"/>
            <w:tcBorders>
              <w:top w:val="single" w:color="000000" w:sz="4" w:space="0"/>
              <w:left w:val="single" w:color="000000" w:sz="4" w:space="0"/>
              <w:bottom w:val="single" w:color="000000" w:sz="4" w:space="0"/>
              <w:right w:val="single" w:color="000000" w:sz="8" w:space="0"/>
            </w:tcBorders>
            <w:vAlign w:val="center"/>
          </w:tcPr>
          <w:p w14:paraId="53CA199D">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4.24%</w:t>
            </w:r>
          </w:p>
        </w:tc>
      </w:tr>
      <w:tr w14:paraId="2EB0E357">
        <w:tblPrEx>
          <w:tblCellMar>
            <w:top w:w="0" w:type="dxa"/>
            <w:left w:w="108" w:type="dxa"/>
            <w:bottom w:w="0" w:type="dxa"/>
            <w:right w:w="108" w:type="dxa"/>
          </w:tblCellMar>
        </w:tblPrEx>
        <w:trPr>
          <w:trHeight w:val="379" w:hRule="atLeast"/>
        </w:trPr>
        <w:tc>
          <w:tcPr>
            <w:tcW w:w="1008" w:type="dxa"/>
            <w:vMerge w:val="continue"/>
            <w:tcBorders>
              <w:top w:val="single" w:color="000000" w:sz="4" w:space="0"/>
              <w:left w:val="single" w:color="000000" w:sz="8" w:space="0"/>
              <w:bottom w:val="single" w:color="000000" w:sz="4" w:space="0"/>
              <w:right w:val="single" w:color="000000" w:sz="4" w:space="0"/>
            </w:tcBorders>
            <w:vAlign w:val="center"/>
          </w:tcPr>
          <w:p w14:paraId="0271A7EE">
            <w:pPr>
              <w:jc w:val="center"/>
              <w:rPr>
                <w:rFonts w:hint="eastAsia" w:ascii="方正仿宋_GB2312" w:hAnsi="方正仿宋_GB2312" w:eastAsia="方正仿宋_GB2312" w:cs="方正仿宋_GB2312"/>
                <w:sz w:val="21"/>
                <w:szCs w:val="21"/>
              </w:rPr>
            </w:pPr>
          </w:p>
        </w:tc>
        <w:tc>
          <w:tcPr>
            <w:tcW w:w="1698" w:type="dxa"/>
            <w:tcBorders>
              <w:top w:val="single" w:color="000000" w:sz="4" w:space="0"/>
              <w:left w:val="single" w:color="000000" w:sz="4" w:space="0"/>
              <w:bottom w:val="single" w:color="000000" w:sz="4" w:space="0"/>
              <w:right w:val="single" w:color="000000" w:sz="4" w:space="0"/>
            </w:tcBorders>
            <w:vAlign w:val="center"/>
          </w:tcPr>
          <w:p w14:paraId="5D441107">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kern w:val="0"/>
                <w:sz w:val="21"/>
                <w:szCs w:val="21"/>
                <w:lang w:val="en-US" w:eastAsia="zh-CN"/>
              </w:rPr>
              <w:t>公共选修课</w:t>
            </w:r>
          </w:p>
        </w:tc>
        <w:tc>
          <w:tcPr>
            <w:tcW w:w="1404" w:type="dxa"/>
            <w:tcBorders>
              <w:top w:val="single" w:color="000000" w:sz="4" w:space="0"/>
              <w:left w:val="single" w:color="000000" w:sz="4" w:space="0"/>
              <w:bottom w:val="single" w:color="000000" w:sz="4" w:space="0"/>
              <w:right w:val="single" w:color="000000" w:sz="4" w:space="0"/>
            </w:tcBorders>
            <w:vAlign w:val="center"/>
          </w:tcPr>
          <w:p w14:paraId="174E22E6">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32</w:t>
            </w:r>
          </w:p>
        </w:tc>
        <w:tc>
          <w:tcPr>
            <w:tcW w:w="1312" w:type="dxa"/>
            <w:tcBorders>
              <w:top w:val="single" w:color="000000" w:sz="4" w:space="0"/>
              <w:left w:val="single" w:color="000000" w:sz="4" w:space="0"/>
              <w:bottom w:val="single" w:color="000000" w:sz="4" w:space="0"/>
              <w:right w:val="single" w:color="000000" w:sz="4" w:space="0"/>
            </w:tcBorders>
            <w:vAlign w:val="center"/>
          </w:tcPr>
          <w:p w14:paraId="2B9D8482">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32</w:t>
            </w:r>
          </w:p>
        </w:tc>
        <w:tc>
          <w:tcPr>
            <w:tcW w:w="1448" w:type="dxa"/>
            <w:tcBorders>
              <w:top w:val="single" w:color="000000" w:sz="4" w:space="0"/>
              <w:left w:val="single" w:color="000000" w:sz="4" w:space="0"/>
              <w:bottom w:val="single" w:color="000000" w:sz="4" w:space="0"/>
              <w:right w:val="single" w:color="000000" w:sz="4" w:space="0"/>
            </w:tcBorders>
            <w:vAlign w:val="center"/>
          </w:tcPr>
          <w:p w14:paraId="54F1367B">
            <w:pPr>
              <w:widowControl/>
              <w:jc w:val="center"/>
              <w:textAlignment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0</w:t>
            </w:r>
          </w:p>
        </w:tc>
        <w:tc>
          <w:tcPr>
            <w:tcW w:w="1138" w:type="dxa"/>
            <w:tcBorders>
              <w:top w:val="single" w:color="000000" w:sz="4" w:space="0"/>
              <w:left w:val="single" w:color="000000" w:sz="4" w:space="0"/>
              <w:bottom w:val="single" w:color="000000" w:sz="4" w:space="0"/>
              <w:right w:val="single" w:color="000000" w:sz="8" w:space="0"/>
            </w:tcBorders>
            <w:vAlign w:val="center"/>
          </w:tcPr>
          <w:p w14:paraId="44C402EC">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1.21%</w:t>
            </w:r>
          </w:p>
        </w:tc>
      </w:tr>
      <w:tr w14:paraId="4B4F2C49">
        <w:tblPrEx>
          <w:tblCellMar>
            <w:top w:w="0" w:type="dxa"/>
            <w:left w:w="108" w:type="dxa"/>
            <w:bottom w:w="0" w:type="dxa"/>
            <w:right w:w="108" w:type="dxa"/>
          </w:tblCellMar>
        </w:tblPrEx>
        <w:trPr>
          <w:trHeight w:val="727" w:hRule="atLeast"/>
        </w:trPr>
        <w:tc>
          <w:tcPr>
            <w:tcW w:w="1008" w:type="dxa"/>
            <w:vMerge w:val="continue"/>
            <w:tcBorders>
              <w:top w:val="single" w:color="000000" w:sz="4" w:space="0"/>
              <w:left w:val="single" w:color="000000" w:sz="8" w:space="0"/>
              <w:bottom w:val="single" w:color="000000" w:sz="4" w:space="0"/>
              <w:right w:val="single" w:color="000000" w:sz="4" w:space="0"/>
            </w:tcBorders>
            <w:vAlign w:val="center"/>
          </w:tcPr>
          <w:p w14:paraId="530E3EA5">
            <w:pPr>
              <w:jc w:val="center"/>
              <w:rPr>
                <w:rFonts w:hint="eastAsia" w:ascii="方正仿宋_GB2312" w:hAnsi="方正仿宋_GB2312" w:eastAsia="方正仿宋_GB2312" w:cs="方正仿宋_GB2312"/>
                <w:sz w:val="21"/>
                <w:szCs w:val="21"/>
              </w:rPr>
            </w:pPr>
          </w:p>
        </w:tc>
        <w:tc>
          <w:tcPr>
            <w:tcW w:w="1698" w:type="dxa"/>
            <w:tcBorders>
              <w:top w:val="single" w:color="000000" w:sz="4" w:space="0"/>
              <w:left w:val="single" w:color="000000" w:sz="4" w:space="0"/>
              <w:bottom w:val="single" w:color="000000" w:sz="4" w:space="0"/>
              <w:right w:val="single" w:color="000000" w:sz="4" w:space="0"/>
            </w:tcBorders>
            <w:vAlign w:val="center"/>
          </w:tcPr>
          <w:p w14:paraId="09E244F3">
            <w:pPr>
              <w:widowControl/>
              <w:jc w:val="center"/>
              <w:textAlignment w:val="center"/>
              <w:rPr>
                <w:rFonts w:hint="default" w:ascii="方正仿宋_GB2312" w:hAnsi="方正仿宋_GB2312" w:eastAsia="方正仿宋_GB2312" w:cs="方正仿宋_GB2312"/>
                <w:kern w:val="0"/>
                <w:sz w:val="21"/>
                <w:szCs w:val="21"/>
                <w:lang w:val="en-US" w:eastAsia="zh-CN"/>
              </w:rPr>
            </w:pPr>
            <w:r>
              <w:rPr>
                <w:rFonts w:hint="eastAsia" w:ascii="方正仿宋_GB2312" w:hAnsi="方正仿宋_GB2312" w:eastAsia="方正仿宋_GB2312" w:cs="方正仿宋_GB2312"/>
                <w:kern w:val="0"/>
                <w:sz w:val="21"/>
                <w:szCs w:val="21"/>
                <w:lang w:val="en-US" w:eastAsia="zh-CN"/>
              </w:rPr>
              <w:t>公共实践课</w:t>
            </w:r>
          </w:p>
        </w:tc>
        <w:tc>
          <w:tcPr>
            <w:tcW w:w="1404" w:type="dxa"/>
            <w:tcBorders>
              <w:top w:val="single" w:color="000000" w:sz="4" w:space="0"/>
              <w:left w:val="single" w:color="000000" w:sz="4" w:space="0"/>
              <w:bottom w:val="single" w:color="000000" w:sz="4" w:space="0"/>
              <w:right w:val="single" w:color="000000" w:sz="4" w:space="0"/>
            </w:tcBorders>
            <w:vAlign w:val="center"/>
          </w:tcPr>
          <w:p w14:paraId="487BD49A">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168</w:t>
            </w:r>
          </w:p>
        </w:tc>
        <w:tc>
          <w:tcPr>
            <w:tcW w:w="1312" w:type="dxa"/>
            <w:tcBorders>
              <w:top w:val="single" w:color="000000" w:sz="4" w:space="0"/>
              <w:left w:val="single" w:color="000000" w:sz="4" w:space="0"/>
              <w:bottom w:val="single" w:color="000000" w:sz="4" w:space="0"/>
              <w:right w:val="single" w:color="000000" w:sz="4" w:space="0"/>
            </w:tcBorders>
            <w:vAlign w:val="center"/>
          </w:tcPr>
          <w:p w14:paraId="5197E5DF">
            <w:pPr>
              <w:widowControl/>
              <w:jc w:val="center"/>
              <w:textAlignment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0</w:t>
            </w:r>
          </w:p>
        </w:tc>
        <w:tc>
          <w:tcPr>
            <w:tcW w:w="1448" w:type="dxa"/>
            <w:tcBorders>
              <w:top w:val="single" w:color="000000" w:sz="4" w:space="0"/>
              <w:left w:val="single" w:color="000000" w:sz="4" w:space="0"/>
              <w:bottom w:val="single" w:color="000000" w:sz="4" w:space="0"/>
              <w:right w:val="single" w:color="000000" w:sz="4" w:space="0"/>
            </w:tcBorders>
            <w:vAlign w:val="center"/>
          </w:tcPr>
          <w:p w14:paraId="4B5A7241">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168</w:t>
            </w:r>
          </w:p>
        </w:tc>
        <w:tc>
          <w:tcPr>
            <w:tcW w:w="1138" w:type="dxa"/>
            <w:tcBorders>
              <w:top w:val="single" w:color="000000" w:sz="4" w:space="0"/>
              <w:left w:val="single" w:color="000000" w:sz="4" w:space="0"/>
              <w:bottom w:val="single" w:color="000000" w:sz="4" w:space="0"/>
              <w:right w:val="single" w:color="000000" w:sz="8" w:space="0"/>
            </w:tcBorders>
            <w:vAlign w:val="center"/>
          </w:tcPr>
          <w:p w14:paraId="67DE0413">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6.35%</w:t>
            </w:r>
          </w:p>
        </w:tc>
      </w:tr>
      <w:tr w14:paraId="62316331">
        <w:tblPrEx>
          <w:tblCellMar>
            <w:top w:w="0" w:type="dxa"/>
            <w:left w:w="108" w:type="dxa"/>
            <w:bottom w:w="0" w:type="dxa"/>
            <w:right w:w="108" w:type="dxa"/>
          </w:tblCellMar>
        </w:tblPrEx>
        <w:trPr>
          <w:trHeight w:val="549" w:hRule="atLeast"/>
        </w:trPr>
        <w:tc>
          <w:tcPr>
            <w:tcW w:w="1008" w:type="dxa"/>
            <w:vMerge w:val="restart"/>
            <w:tcBorders>
              <w:top w:val="single" w:color="000000" w:sz="4" w:space="0"/>
              <w:left w:val="single" w:color="000000" w:sz="8" w:space="0"/>
              <w:right w:val="single" w:color="000000" w:sz="4" w:space="0"/>
            </w:tcBorders>
            <w:vAlign w:val="center"/>
          </w:tcPr>
          <w:p w14:paraId="25B5EC36">
            <w:pPr>
              <w:widowControl/>
              <w:jc w:val="center"/>
              <w:textAlignment w:val="center"/>
              <w:rPr>
                <w:rFonts w:hint="eastAsia" w:ascii="方正仿宋_GB2312" w:hAnsi="方正仿宋_GB2312" w:eastAsia="方正仿宋_GB2312" w:cs="方正仿宋_GB2312"/>
                <w:kern w:val="0"/>
                <w:sz w:val="21"/>
                <w:szCs w:val="21"/>
                <w:lang w:val="en-US" w:eastAsia="zh-CN"/>
              </w:rPr>
            </w:pPr>
            <w:r>
              <w:rPr>
                <w:rFonts w:hint="eastAsia" w:ascii="方正仿宋_GB2312" w:hAnsi="方正仿宋_GB2312" w:eastAsia="方正仿宋_GB2312" w:cs="方正仿宋_GB2312"/>
                <w:kern w:val="0"/>
                <w:sz w:val="21"/>
                <w:szCs w:val="21"/>
                <w:lang w:val="en-US" w:eastAsia="zh-CN"/>
              </w:rPr>
              <w:t>专业</w:t>
            </w:r>
          </w:p>
          <w:p w14:paraId="3762CF20">
            <w:pPr>
              <w:widowControl/>
              <w:jc w:val="center"/>
              <w:textAlignment w:val="center"/>
              <w:rPr>
                <w:rFonts w:hint="eastAsia" w:ascii="方正仿宋_GB2312" w:hAnsi="方正仿宋_GB2312" w:eastAsia="方正仿宋_GB2312" w:cs="方正仿宋_GB2312"/>
                <w:sz w:val="21"/>
                <w:szCs w:val="21"/>
                <w:lang w:eastAsia="zh-CN"/>
              </w:rPr>
            </w:pPr>
            <w:r>
              <w:rPr>
                <w:rFonts w:hint="eastAsia" w:ascii="方正仿宋_GB2312" w:hAnsi="方正仿宋_GB2312" w:eastAsia="方正仿宋_GB2312" w:cs="方正仿宋_GB2312"/>
                <w:kern w:val="0"/>
                <w:sz w:val="21"/>
                <w:szCs w:val="21"/>
                <w:lang w:val="en-US" w:eastAsia="zh-CN"/>
              </w:rPr>
              <w:t>（技能）课</w:t>
            </w:r>
          </w:p>
        </w:tc>
        <w:tc>
          <w:tcPr>
            <w:tcW w:w="1698" w:type="dxa"/>
            <w:tcBorders>
              <w:top w:val="single" w:color="000000" w:sz="4" w:space="0"/>
              <w:left w:val="single" w:color="000000" w:sz="4" w:space="0"/>
              <w:bottom w:val="single" w:color="000000" w:sz="4" w:space="0"/>
              <w:right w:val="single" w:color="000000" w:sz="4" w:space="0"/>
            </w:tcBorders>
            <w:vAlign w:val="center"/>
          </w:tcPr>
          <w:p w14:paraId="64B0D9F6">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kern w:val="0"/>
                <w:sz w:val="21"/>
                <w:szCs w:val="21"/>
                <w:lang w:val="en-US" w:eastAsia="zh-CN"/>
              </w:rPr>
              <w:t>专业基础课</w:t>
            </w:r>
          </w:p>
        </w:tc>
        <w:tc>
          <w:tcPr>
            <w:tcW w:w="1404" w:type="dxa"/>
            <w:tcBorders>
              <w:top w:val="single" w:color="000000" w:sz="4" w:space="0"/>
              <w:left w:val="single" w:color="000000" w:sz="4" w:space="0"/>
              <w:bottom w:val="single" w:color="000000" w:sz="4" w:space="0"/>
              <w:right w:val="single" w:color="000000" w:sz="4" w:space="0"/>
            </w:tcBorders>
            <w:vAlign w:val="center"/>
          </w:tcPr>
          <w:p w14:paraId="6FA69C50">
            <w:pPr>
              <w:jc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496</w:t>
            </w:r>
          </w:p>
        </w:tc>
        <w:tc>
          <w:tcPr>
            <w:tcW w:w="1312" w:type="dxa"/>
            <w:tcBorders>
              <w:top w:val="single" w:color="000000" w:sz="4" w:space="0"/>
              <w:left w:val="single" w:color="000000" w:sz="4" w:space="0"/>
              <w:bottom w:val="single" w:color="000000" w:sz="4" w:space="0"/>
              <w:right w:val="single" w:color="000000" w:sz="4" w:space="0"/>
            </w:tcBorders>
            <w:vAlign w:val="center"/>
          </w:tcPr>
          <w:p w14:paraId="65C7A31E">
            <w:pPr>
              <w:jc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280</w:t>
            </w:r>
          </w:p>
        </w:tc>
        <w:tc>
          <w:tcPr>
            <w:tcW w:w="1448" w:type="dxa"/>
            <w:tcBorders>
              <w:top w:val="single" w:color="000000" w:sz="4" w:space="0"/>
              <w:left w:val="single" w:color="000000" w:sz="4" w:space="0"/>
              <w:bottom w:val="single" w:color="000000" w:sz="4" w:space="0"/>
              <w:right w:val="single" w:color="000000" w:sz="4" w:space="0"/>
            </w:tcBorders>
            <w:vAlign w:val="center"/>
          </w:tcPr>
          <w:p w14:paraId="36C9B20E">
            <w:pPr>
              <w:jc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216</w:t>
            </w:r>
          </w:p>
        </w:tc>
        <w:tc>
          <w:tcPr>
            <w:tcW w:w="1138" w:type="dxa"/>
            <w:tcBorders>
              <w:top w:val="single" w:color="000000" w:sz="4" w:space="0"/>
              <w:left w:val="single" w:color="000000" w:sz="4" w:space="0"/>
              <w:bottom w:val="single" w:color="000000" w:sz="4" w:space="0"/>
              <w:right w:val="single" w:color="000000" w:sz="8" w:space="0"/>
            </w:tcBorders>
            <w:vAlign w:val="center"/>
          </w:tcPr>
          <w:p w14:paraId="72C09C19">
            <w:pPr>
              <w:jc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18.67%</w:t>
            </w:r>
          </w:p>
        </w:tc>
      </w:tr>
      <w:tr w14:paraId="4E114DDB">
        <w:tblPrEx>
          <w:tblCellMar>
            <w:top w:w="0" w:type="dxa"/>
            <w:left w:w="108" w:type="dxa"/>
            <w:bottom w:w="0" w:type="dxa"/>
            <w:right w:w="108" w:type="dxa"/>
          </w:tblCellMar>
        </w:tblPrEx>
        <w:trPr>
          <w:trHeight w:val="504" w:hRule="atLeast"/>
        </w:trPr>
        <w:tc>
          <w:tcPr>
            <w:tcW w:w="1008" w:type="dxa"/>
            <w:vMerge w:val="continue"/>
            <w:tcBorders>
              <w:left w:val="single" w:color="000000" w:sz="8" w:space="0"/>
              <w:right w:val="single" w:color="000000" w:sz="4" w:space="0"/>
            </w:tcBorders>
            <w:vAlign w:val="center"/>
          </w:tcPr>
          <w:p w14:paraId="1BB72F3C">
            <w:pPr>
              <w:widowControl/>
              <w:jc w:val="center"/>
              <w:textAlignment w:val="center"/>
              <w:rPr>
                <w:rFonts w:hint="eastAsia" w:ascii="方正仿宋_GB2312" w:hAnsi="方正仿宋_GB2312" w:eastAsia="方正仿宋_GB2312" w:cs="方正仿宋_GB2312"/>
                <w:kern w:val="0"/>
                <w:sz w:val="21"/>
                <w:szCs w:val="21"/>
              </w:rPr>
            </w:pPr>
          </w:p>
        </w:tc>
        <w:tc>
          <w:tcPr>
            <w:tcW w:w="1698" w:type="dxa"/>
            <w:tcBorders>
              <w:top w:val="single" w:color="000000" w:sz="4" w:space="0"/>
              <w:left w:val="single" w:color="000000" w:sz="4" w:space="0"/>
              <w:bottom w:val="single" w:color="000000" w:sz="4" w:space="0"/>
              <w:right w:val="single" w:color="000000" w:sz="4" w:space="0"/>
            </w:tcBorders>
            <w:vAlign w:val="center"/>
          </w:tcPr>
          <w:p w14:paraId="5D9BE1DE">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kern w:val="0"/>
                <w:sz w:val="21"/>
                <w:szCs w:val="21"/>
                <w:lang w:val="en-US" w:eastAsia="zh-CN"/>
              </w:rPr>
              <w:t>专业核心课</w:t>
            </w:r>
          </w:p>
        </w:tc>
        <w:tc>
          <w:tcPr>
            <w:tcW w:w="1404" w:type="dxa"/>
            <w:tcBorders>
              <w:top w:val="single" w:color="000000" w:sz="4" w:space="0"/>
              <w:left w:val="single" w:color="000000" w:sz="4" w:space="0"/>
              <w:bottom w:val="single" w:color="000000" w:sz="4" w:space="0"/>
              <w:right w:val="single" w:color="000000" w:sz="4" w:space="0"/>
            </w:tcBorders>
            <w:vAlign w:val="center"/>
          </w:tcPr>
          <w:p w14:paraId="4034F005">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288</w:t>
            </w:r>
          </w:p>
        </w:tc>
        <w:tc>
          <w:tcPr>
            <w:tcW w:w="1312" w:type="dxa"/>
            <w:tcBorders>
              <w:top w:val="single" w:color="000000" w:sz="4" w:space="0"/>
              <w:left w:val="single" w:color="000000" w:sz="4" w:space="0"/>
              <w:bottom w:val="single" w:color="000000" w:sz="4" w:space="0"/>
              <w:right w:val="single" w:color="000000" w:sz="4" w:space="0"/>
            </w:tcBorders>
            <w:vAlign w:val="center"/>
          </w:tcPr>
          <w:p w14:paraId="49E8B8A5">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160</w:t>
            </w:r>
          </w:p>
        </w:tc>
        <w:tc>
          <w:tcPr>
            <w:tcW w:w="1448" w:type="dxa"/>
            <w:tcBorders>
              <w:top w:val="single" w:color="000000" w:sz="4" w:space="0"/>
              <w:left w:val="single" w:color="000000" w:sz="4" w:space="0"/>
              <w:bottom w:val="single" w:color="000000" w:sz="4" w:space="0"/>
              <w:right w:val="single" w:color="000000" w:sz="4" w:space="0"/>
            </w:tcBorders>
            <w:vAlign w:val="center"/>
          </w:tcPr>
          <w:p w14:paraId="00008110">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128</w:t>
            </w:r>
          </w:p>
        </w:tc>
        <w:tc>
          <w:tcPr>
            <w:tcW w:w="1138" w:type="dxa"/>
            <w:tcBorders>
              <w:top w:val="single" w:color="000000" w:sz="4" w:space="0"/>
              <w:left w:val="single" w:color="000000" w:sz="4" w:space="0"/>
              <w:bottom w:val="single" w:color="000000" w:sz="4" w:space="0"/>
              <w:right w:val="single" w:color="000000" w:sz="8" w:space="0"/>
            </w:tcBorders>
            <w:vAlign w:val="center"/>
          </w:tcPr>
          <w:p w14:paraId="2E64049A">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10.89%</w:t>
            </w:r>
          </w:p>
        </w:tc>
      </w:tr>
      <w:tr w14:paraId="2A1C3F56">
        <w:tblPrEx>
          <w:tblCellMar>
            <w:top w:w="0" w:type="dxa"/>
            <w:left w:w="108" w:type="dxa"/>
            <w:bottom w:w="0" w:type="dxa"/>
            <w:right w:w="108" w:type="dxa"/>
          </w:tblCellMar>
        </w:tblPrEx>
        <w:trPr>
          <w:trHeight w:val="569" w:hRule="atLeast"/>
        </w:trPr>
        <w:tc>
          <w:tcPr>
            <w:tcW w:w="1008" w:type="dxa"/>
            <w:vMerge w:val="continue"/>
            <w:tcBorders>
              <w:left w:val="single" w:color="000000" w:sz="8" w:space="0"/>
              <w:right w:val="single" w:color="000000" w:sz="4" w:space="0"/>
            </w:tcBorders>
            <w:vAlign w:val="center"/>
          </w:tcPr>
          <w:p w14:paraId="08E49DE2">
            <w:pPr>
              <w:jc w:val="center"/>
              <w:rPr>
                <w:rFonts w:hint="eastAsia" w:ascii="方正仿宋_GB2312" w:hAnsi="方正仿宋_GB2312" w:eastAsia="方正仿宋_GB2312" w:cs="方正仿宋_GB2312"/>
                <w:sz w:val="21"/>
                <w:szCs w:val="21"/>
              </w:rPr>
            </w:pPr>
          </w:p>
        </w:tc>
        <w:tc>
          <w:tcPr>
            <w:tcW w:w="1698" w:type="dxa"/>
            <w:tcBorders>
              <w:top w:val="single" w:color="000000" w:sz="4" w:space="0"/>
              <w:left w:val="single" w:color="000000" w:sz="4" w:space="0"/>
              <w:bottom w:val="single" w:color="000000" w:sz="4" w:space="0"/>
              <w:right w:val="single" w:color="000000" w:sz="4" w:space="0"/>
            </w:tcBorders>
            <w:vAlign w:val="center"/>
          </w:tcPr>
          <w:p w14:paraId="4AE4F279">
            <w:pPr>
              <w:widowControl/>
              <w:spacing w:line="240" w:lineRule="exact"/>
              <w:jc w:val="center"/>
              <w:textAlignment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kern w:val="0"/>
                <w:sz w:val="21"/>
                <w:szCs w:val="21"/>
                <w:lang w:val="en-US" w:eastAsia="zh-CN"/>
              </w:rPr>
              <w:t>专业限选课</w:t>
            </w:r>
            <w:r>
              <w:rPr>
                <w:rFonts w:hint="eastAsia" w:ascii="方正仿宋_GB2312" w:hAnsi="方正仿宋_GB2312" w:eastAsia="方正仿宋_GB2312" w:cs="方正仿宋_GB2312"/>
                <w:kern w:val="0"/>
                <w:sz w:val="21"/>
                <w:szCs w:val="21"/>
              </w:rPr>
              <w:t>）</w:t>
            </w:r>
          </w:p>
        </w:tc>
        <w:tc>
          <w:tcPr>
            <w:tcW w:w="1404" w:type="dxa"/>
            <w:tcBorders>
              <w:top w:val="single" w:color="000000" w:sz="4" w:space="0"/>
              <w:left w:val="single" w:color="000000" w:sz="4" w:space="0"/>
              <w:bottom w:val="single" w:color="000000" w:sz="4" w:space="0"/>
              <w:right w:val="single" w:color="000000" w:sz="4" w:space="0"/>
            </w:tcBorders>
            <w:vAlign w:val="center"/>
          </w:tcPr>
          <w:p w14:paraId="4C36DFF4">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64</w:t>
            </w:r>
          </w:p>
        </w:tc>
        <w:tc>
          <w:tcPr>
            <w:tcW w:w="1312" w:type="dxa"/>
            <w:tcBorders>
              <w:top w:val="single" w:color="000000" w:sz="4" w:space="0"/>
              <w:left w:val="single" w:color="000000" w:sz="4" w:space="0"/>
              <w:bottom w:val="single" w:color="000000" w:sz="4" w:space="0"/>
              <w:right w:val="single" w:color="000000" w:sz="4" w:space="0"/>
            </w:tcBorders>
            <w:vAlign w:val="center"/>
          </w:tcPr>
          <w:p w14:paraId="703A5EDE">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48</w:t>
            </w:r>
          </w:p>
        </w:tc>
        <w:tc>
          <w:tcPr>
            <w:tcW w:w="1448" w:type="dxa"/>
            <w:tcBorders>
              <w:top w:val="single" w:color="000000" w:sz="4" w:space="0"/>
              <w:left w:val="single" w:color="000000" w:sz="4" w:space="0"/>
              <w:bottom w:val="single" w:color="000000" w:sz="4" w:space="0"/>
              <w:right w:val="single" w:color="000000" w:sz="4" w:space="0"/>
            </w:tcBorders>
            <w:vAlign w:val="center"/>
          </w:tcPr>
          <w:p w14:paraId="0A565294">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64</w:t>
            </w:r>
          </w:p>
        </w:tc>
        <w:tc>
          <w:tcPr>
            <w:tcW w:w="1138" w:type="dxa"/>
            <w:tcBorders>
              <w:top w:val="single" w:color="000000" w:sz="4" w:space="0"/>
              <w:left w:val="single" w:color="000000" w:sz="4" w:space="0"/>
              <w:bottom w:val="single" w:color="000000" w:sz="4" w:space="0"/>
              <w:right w:val="single" w:color="000000" w:sz="8" w:space="0"/>
            </w:tcBorders>
            <w:vAlign w:val="center"/>
          </w:tcPr>
          <w:p w14:paraId="2CAAA8D8">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2.42%</w:t>
            </w:r>
          </w:p>
        </w:tc>
      </w:tr>
      <w:tr w14:paraId="59D2BDF4">
        <w:tblPrEx>
          <w:tblCellMar>
            <w:top w:w="0" w:type="dxa"/>
            <w:left w:w="108" w:type="dxa"/>
            <w:bottom w:w="0" w:type="dxa"/>
            <w:right w:w="108" w:type="dxa"/>
          </w:tblCellMar>
        </w:tblPrEx>
        <w:trPr>
          <w:trHeight w:val="509" w:hRule="atLeast"/>
        </w:trPr>
        <w:tc>
          <w:tcPr>
            <w:tcW w:w="1008" w:type="dxa"/>
            <w:vMerge w:val="continue"/>
            <w:tcBorders>
              <w:left w:val="single" w:color="000000" w:sz="8" w:space="0"/>
              <w:right w:val="single" w:color="000000" w:sz="4" w:space="0"/>
            </w:tcBorders>
            <w:vAlign w:val="center"/>
          </w:tcPr>
          <w:p w14:paraId="18B68A0E">
            <w:pPr>
              <w:widowControl/>
              <w:jc w:val="center"/>
              <w:textAlignment w:val="center"/>
              <w:rPr>
                <w:rFonts w:hint="default" w:ascii="方正仿宋_GB2312" w:hAnsi="方正仿宋_GB2312" w:eastAsia="方正仿宋_GB2312" w:cs="方正仿宋_GB2312"/>
                <w:sz w:val="21"/>
                <w:szCs w:val="21"/>
                <w:lang w:val="en-US" w:eastAsia="zh-CN"/>
              </w:rPr>
            </w:pPr>
          </w:p>
        </w:tc>
        <w:tc>
          <w:tcPr>
            <w:tcW w:w="1698" w:type="dxa"/>
            <w:tcBorders>
              <w:top w:val="single" w:color="000000" w:sz="4" w:space="0"/>
              <w:left w:val="single" w:color="000000" w:sz="8" w:space="0"/>
              <w:bottom w:val="single" w:color="000000" w:sz="4" w:space="0"/>
              <w:right w:val="single" w:color="000000" w:sz="4" w:space="0"/>
            </w:tcBorders>
            <w:vAlign w:val="center"/>
          </w:tcPr>
          <w:p w14:paraId="66525894">
            <w:pPr>
              <w:widowControl/>
              <w:jc w:val="center"/>
              <w:textAlignment w:val="center"/>
              <w:rPr>
                <w:rFonts w:hint="eastAsia" w:ascii="方正仿宋_GB2312" w:hAnsi="方正仿宋_GB2312" w:eastAsia="方正仿宋_GB2312" w:cs="方正仿宋_GB2312"/>
                <w:kern w:val="0"/>
                <w:sz w:val="21"/>
                <w:szCs w:val="21"/>
                <w:lang w:val="en-US" w:eastAsia="zh-CN"/>
              </w:rPr>
            </w:pPr>
            <w:r>
              <w:rPr>
                <w:rFonts w:hint="eastAsia" w:ascii="方正仿宋_GB2312" w:hAnsi="方正仿宋_GB2312" w:eastAsia="方正仿宋_GB2312" w:cs="方正仿宋_GB2312"/>
                <w:kern w:val="0"/>
                <w:sz w:val="21"/>
                <w:szCs w:val="21"/>
                <w:lang w:val="en-US" w:eastAsia="zh-CN"/>
              </w:rPr>
              <w:t>专业选修课</w:t>
            </w:r>
          </w:p>
        </w:tc>
        <w:tc>
          <w:tcPr>
            <w:tcW w:w="1404" w:type="dxa"/>
            <w:tcBorders>
              <w:top w:val="single" w:color="000000" w:sz="4" w:space="0"/>
              <w:left w:val="single" w:color="000000" w:sz="4" w:space="0"/>
              <w:bottom w:val="single" w:color="000000" w:sz="4" w:space="0"/>
              <w:right w:val="single" w:color="000000" w:sz="4" w:space="0"/>
            </w:tcBorders>
            <w:vAlign w:val="center"/>
          </w:tcPr>
          <w:p w14:paraId="2DDAFD53">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80</w:t>
            </w:r>
          </w:p>
        </w:tc>
        <w:tc>
          <w:tcPr>
            <w:tcW w:w="1312" w:type="dxa"/>
            <w:tcBorders>
              <w:top w:val="single" w:color="000000" w:sz="4" w:space="0"/>
              <w:left w:val="single" w:color="000000" w:sz="4" w:space="0"/>
              <w:bottom w:val="single" w:color="000000" w:sz="4" w:space="0"/>
              <w:right w:val="single" w:color="000000" w:sz="4" w:space="0"/>
            </w:tcBorders>
            <w:vAlign w:val="center"/>
          </w:tcPr>
          <w:p w14:paraId="45352282">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64</w:t>
            </w:r>
          </w:p>
        </w:tc>
        <w:tc>
          <w:tcPr>
            <w:tcW w:w="1448" w:type="dxa"/>
            <w:tcBorders>
              <w:top w:val="single" w:color="000000" w:sz="4" w:space="0"/>
              <w:left w:val="single" w:color="000000" w:sz="4" w:space="0"/>
              <w:bottom w:val="single" w:color="000000" w:sz="4" w:space="0"/>
              <w:right w:val="single" w:color="000000" w:sz="4" w:space="0"/>
            </w:tcBorders>
            <w:vAlign w:val="center"/>
          </w:tcPr>
          <w:p w14:paraId="2279A866">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80</w:t>
            </w:r>
          </w:p>
        </w:tc>
        <w:tc>
          <w:tcPr>
            <w:tcW w:w="1138" w:type="dxa"/>
            <w:tcBorders>
              <w:top w:val="single" w:color="000000" w:sz="4" w:space="0"/>
              <w:left w:val="single" w:color="000000" w:sz="4" w:space="0"/>
              <w:bottom w:val="single" w:color="000000" w:sz="4" w:space="0"/>
              <w:right w:val="single" w:color="000000" w:sz="8" w:space="0"/>
            </w:tcBorders>
            <w:vAlign w:val="center"/>
          </w:tcPr>
          <w:p w14:paraId="303E1C5C">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kern w:val="0"/>
                <w:sz w:val="21"/>
                <w:szCs w:val="21"/>
                <w:lang w:val="en-US" w:eastAsia="zh-CN"/>
              </w:rPr>
              <w:t>3.03%</w:t>
            </w:r>
          </w:p>
        </w:tc>
      </w:tr>
      <w:tr w14:paraId="2A2BBC00">
        <w:tblPrEx>
          <w:tblCellMar>
            <w:top w:w="0" w:type="dxa"/>
            <w:left w:w="108" w:type="dxa"/>
            <w:bottom w:w="0" w:type="dxa"/>
            <w:right w:w="108" w:type="dxa"/>
          </w:tblCellMar>
        </w:tblPrEx>
        <w:trPr>
          <w:trHeight w:val="419" w:hRule="atLeast"/>
        </w:trPr>
        <w:tc>
          <w:tcPr>
            <w:tcW w:w="1008" w:type="dxa"/>
            <w:vMerge w:val="continue"/>
            <w:tcBorders>
              <w:left w:val="single" w:color="000000" w:sz="8" w:space="0"/>
              <w:bottom w:val="single" w:color="000000" w:sz="4" w:space="0"/>
              <w:right w:val="single" w:color="000000" w:sz="4" w:space="0"/>
            </w:tcBorders>
            <w:vAlign w:val="center"/>
          </w:tcPr>
          <w:p w14:paraId="04CE0CE4">
            <w:pPr>
              <w:widowControl/>
              <w:jc w:val="center"/>
              <w:textAlignment w:val="center"/>
              <w:rPr>
                <w:rFonts w:hint="default" w:ascii="方正仿宋_GB2312" w:hAnsi="方正仿宋_GB2312" w:eastAsia="方正仿宋_GB2312" w:cs="方正仿宋_GB2312"/>
                <w:sz w:val="21"/>
                <w:szCs w:val="21"/>
                <w:lang w:val="en-US" w:eastAsia="zh-CN"/>
              </w:rPr>
            </w:pPr>
          </w:p>
        </w:tc>
        <w:tc>
          <w:tcPr>
            <w:tcW w:w="1698" w:type="dxa"/>
            <w:tcBorders>
              <w:top w:val="single" w:color="000000" w:sz="4" w:space="0"/>
              <w:left w:val="single" w:color="000000" w:sz="8" w:space="0"/>
              <w:bottom w:val="single" w:color="000000" w:sz="4" w:space="0"/>
              <w:right w:val="single" w:color="000000" w:sz="4" w:space="0"/>
            </w:tcBorders>
            <w:vAlign w:val="center"/>
          </w:tcPr>
          <w:p w14:paraId="6D4E34B5">
            <w:pPr>
              <w:widowControl/>
              <w:jc w:val="center"/>
              <w:textAlignment w:val="center"/>
              <w:rPr>
                <w:rFonts w:hint="eastAsia" w:ascii="方正仿宋_GB2312" w:hAnsi="方正仿宋_GB2312" w:eastAsia="方正仿宋_GB2312" w:cs="方正仿宋_GB2312"/>
                <w:kern w:val="0"/>
                <w:sz w:val="21"/>
                <w:szCs w:val="21"/>
                <w:lang w:val="en-US" w:eastAsia="zh-CN"/>
              </w:rPr>
            </w:pPr>
            <w:r>
              <w:rPr>
                <w:rFonts w:hint="eastAsia" w:ascii="方正仿宋_GB2312" w:hAnsi="方正仿宋_GB2312" w:eastAsia="方正仿宋_GB2312" w:cs="方正仿宋_GB2312"/>
                <w:kern w:val="0"/>
                <w:sz w:val="21"/>
                <w:szCs w:val="21"/>
                <w:lang w:val="en-US" w:eastAsia="zh-CN"/>
              </w:rPr>
              <w:t>专业实践课</w:t>
            </w:r>
          </w:p>
        </w:tc>
        <w:tc>
          <w:tcPr>
            <w:tcW w:w="1404" w:type="dxa"/>
            <w:tcBorders>
              <w:top w:val="single" w:color="000000" w:sz="4" w:space="0"/>
              <w:left w:val="single" w:color="000000" w:sz="4" w:space="0"/>
              <w:bottom w:val="single" w:color="000000" w:sz="4" w:space="0"/>
              <w:right w:val="single" w:color="000000" w:sz="4" w:space="0"/>
            </w:tcBorders>
            <w:vAlign w:val="center"/>
          </w:tcPr>
          <w:p w14:paraId="6FD132BC">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840</w:t>
            </w:r>
          </w:p>
        </w:tc>
        <w:tc>
          <w:tcPr>
            <w:tcW w:w="1312" w:type="dxa"/>
            <w:tcBorders>
              <w:top w:val="single" w:color="000000" w:sz="4" w:space="0"/>
              <w:left w:val="single" w:color="000000" w:sz="4" w:space="0"/>
              <w:bottom w:val="single" w:color="000000" w:sz="4" w:space="0"/>
              <w:right w:val="single" w:color="000000" w:sz="4" w:space="0"/>
            </w:tcBorders>
            <w:vAlign w:val="center"/>
          </w:tcPr>
          <w:p w14:paraId="47944112">
            <w:pPr>
              <w:widowControl/>
              <w:jc w:val="center"/>
              <w:textAlignment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0</w:t>
            </w:r>
          </w:p>
        </w:tc>
        <w:tc>
          <w:tcPr>
            <w:tcW w:w="1448" w:type="dxa"/>
            <w:tcBorders>
              <w:top w:val="single" w:color="000000" w:sz="4" w:space="0"/>
              <w:left w:val="single" w:color="000000" w:sz="4" w:space="0"/>
              <w:bottom w:val="single" w:color="000000" w:sz="4" w:space="0"/>
              <w:right w:val="single" w:color="000000" w:sz="4" w:space="0"/>
            </w:tcBorders>
            <w:vAlign w:val="center"/>
          </w:tcPr>
          <w:p w14:paraId="1D91233D">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840</w:t>
            </w:r>
          </w:p>
        </w:tc>
        <w:tc>
          <w:tcPr>
            <w:tcW w:w="1138" w:type="dxa"/>
            <w:tcBorders>
              <w:top w:val="single" w:color="000000" w:sz="4" w:space="0"/>
              <w:left w:val="single" w:color="000000" w:sz="4" w:space="0"/>
              <w:bottom w:val="single" w:color="000000" w:sz="4" w:space="0"/>
              <w:right w:val="single" w:color="000000" w:sz="8" w:space="0"/>
            </w:tcBorders>
            <w:vAlign w:val="center"/>
          </w:tcPr>
          <w:p w14:paraId="64018A83">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31.77%</w:t>
            </w:r>
          </w:p>
        </w:tc>
      </w:tr>
      <w:tr w14:paraId="45ECFA15">
        <w:tblPrEx>
          <w:tblCellMar>
            <w:top w:w="0" w:type="dxa"/>
            <w:left w:w="108" w:type="dxa"/>
            <w:bottom w:w="0" w:type="dxa"/>
            <w:right w:w="108" w:type="dxa"/>
          </w:tblCellMar>
        </w:tblPrEx>
        <w:trPr>
          <w:trHeight w:val="419" w:hRule="atLeast"/>
        </w:trPr>
        <w:tc>
          <w:tcPr>
            <w:tcW w:w="2706" w:type="dxa"/>
            <w:gridSpan w:val="2"/>
            <w:tcBorders>
              <w:top w:val="single" w:color="000000" w:sz="4" w:space="0"/>
              <w:left w:val="single" w:color="000000" w:sz="8" w:space="0"/>
              <w:bottom w:val="single" w:color="000000" w:sz="8" w:space="0"/>
              <w:right w:val="single" w:color="000000" w:sz="4" w:space="0"/>
            </w:tcBorders>
            <w:vAlign w:val="center"/>
          </w:tcPr>
          <w:p w14:paraId="37AB4143">
            <w:pPr>
              <w:widowControl/>
              <w:jc w:val="center"/>
              <w:textAlignment w:val="center"/>
              <w:rPr>
                <w:rFonts w:hint="eastAsia" w:ascii="方正仿宋_GB2312" w:hAnsi="方正仿宋_GB2312" w:eastAsia="方正仿宋_GB2312" w:cs="方正仿宋_GB2312"/>
                <w:kern w:val="0"/>
                <w:sz w:val="21"/>
                <w:szCs w:val="21"/>
                <w:lang w:val="en-US" w:eastAsia="zh-CN"/>
              </w:rPr>
            </w:pPr>
          </w:p>
        </w:tc>
        <w:tc>
          <w:tcPr>
            <w:tcW w:w="1404" w:type="dxa"/>
            <w:tcBorders>
              <w:top w:val="single" w:color="000000" w:sz="4" w:space="0"/>
              <w:left w:val="single" w:color="000000" w:sz="4" w:space="0"/>
              <w:bottom w:val="single" w:color="000000" w:sz="8" w:space="0"/>
              <w:right w:val="single" w:color="000000" w:sz="4" w:space="0"/>
            </w:tcBorders>
            <w:vAlign w:val="center"/>
          </w:tcPr>
          <w:p w14:paraId="2866DD8A">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2644</w:t>
            </w:r>
          </w:p>
        </w:tc>
        <w:tc>
          <w:tcPr>
            <w:tcW w:w="1312" w:type="dxa"/>
            <w:tcBorders>
              <w:top w:val="single" w:color="000000" w:sz="4" w:space="0"/>
              <w:left w:val="single" w:color="000000" w:sz="4" w:space="0"/>
              <w:bottom w:val="single" w:color="000000" w:sz="8" w:space="0"/>
              <w:right w:val="single" w:color="000000" w:sz="4" w:space="0"/>
            </w:tcBorders>
            <w:vAlign w:val="center"/>
          </w:tcPr>
          <w:p w14:paraId="5B5CF47F">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1122</w:t>
            </w:r>
          </w:p>
        </w:tc>
        <w:tc>
          <w:tcPr>
            <w:tcW w:w="1448" w:type="dxa"/>
            <w:tcBorders>
              <w:top w:val="single" w:color="000000" w:sz="4" w:space="0"/>
              <w:left w:val="single" w:color="000000" w:sz="4" w:space="0"/>
              <w:bottom w:val="single" w:color="000000" w:sz="8" w:space="0"/>
              <w:right w:val="single" w:color="000000" w:sz="4" w:space="0"/>
            </w:tcBorders>
            <w:vAlign w:val="center"/>
          </w:tcPr>
          <w:p w14:paraId="4F98A722">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2644</w:t>
            </w:r>
          </w:p>
        </w:tc>
        <w:tc>
          <w:tcPr>
            <w:tcW w:w="1138" w:type="dxa"/>
            <w:tcBorders>
              <w:top w:val="single" w:color="000000" w:sz="4" w:space="0"/>
              <w:left w:val="single" w:color="000000" w:sz="4" w:space="0"/>
              <w:bottom w:val="single" w:color="000000" w:sz="8" w:space="0"/>
              <w:right w:val="single" w:color="000000" w:sz="8" w:space="0"/>
            </w:tcBorders>
            <w:vAlign w:val="center"/>
          </w:tcPr>
          <w:p w14:paraId="4E72F10E">
            <w:pPr>
              <w:widowControl/>
              <w:jc w:val="center"/>
              <w:textAlignment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100%</w:t>
            </w:r>
          </w:p>
        </w:tc>
      </w:tr>
    </w:tbl>
    <w:p w14:paraId="368C8A21">
      <w:pPr>
        <w:spacing w:line="500" w:lineRule="exact"/>
        <w:jc w:val="center"/>
        <w:rPr>
          <w:rFonts w:hint="eastAsia" w:ascii="宋体" w:hAnsi="宋体" w:eastAsia="宋体" w:cs="宋体"/>
          <w:b/>
          <w:bCs/>
          <w:sz w:val="24"/>
        </w:rPr>
      </w:pPr>
    </w:p>
    <w:p w14:paraId="009821A3">
      <w:pPr>
        <w:spacing w:line="500" w:lineRule="exact"/>
        <w:jc w:val="center"/>
        <w:rPr>
          <w:rFonts w:hint="eastAsia" w:ascii="宋体" w:hAnsi="宋体" w:eastAsia="宋体" w:cs="宋体"/>
          <w:b/>
          <w:bCs/>
          <w:sz w:val="18"/>
          <w:szCs w:val="18"/>
        </w:rPr>
      </w:pPr>
      <w:r>
        <w:rPr>
          <w:rFonts w:hint="eastAsia" w:ascii="宋体" w:hAnsi="宋体" w:eastAsia="宋体" w:cs="宋体"/>
          <w:b/>
          <w:bCs/>
          <w:sz w:val="24"/>
        </w:rPr>
        <w:t>表7 不同课程类型学时比例表</w:t>
      </w:r>
    </w:p>
    <w:tbl>
      <w:tblPr>
        <w:tblStyle w:val="8"/>
        <w:tblW w:w="8265" w:type="dxa"/>
        <w:tblInd w:w="0" w:type="dxa"/>
        <w:tblLayout w:type="fixed"/>
        <w:tblCellMar>
          <w:top w:w="0" w:type="dxa"/>
          <w:left w:w="108" w:type="dxa"/>
          <w:bottom w:w="0" w:type="dxa"/>
          <w:right w:w="108" w:type="dxa"/>
        </w:tblCellMar>
      </w:tblPr>
      <w:tblGrid>
        <w:gridCol w:w="4140"/>
        <w:gridCol w:w="4125"/>
      </w:tblGrid>
      <w:tr w14:paraId="5A3B236C">
        <w:tblPrEx>
          <w:tblCellMar>
            <w:top w:w="0" w:type="dxa"/>
            <w:left w:w="108" w:type="dxa"/>
            <w:bottom w:w="0" w:type="dxa"/>
            <w:right w:w="108" w:type="dxa"/>
          </w:tblCellMar>
        </w:tblPrEx>
        <w:trPr>
          <w:trHeight w:val="602" w:hRule="atLeast"/>
        </w:trPr>
        <w:tc>
          <w:tcPr>
            <w:tcW w:w="4140" w:type="dxa"/>
            <w:tcBorders>
              <w:top w:val="single" w:color="auto" w:sz="4" w:space="0"/>
              <w:left w:val="single" w:color="auto" w:sz="4" w:space="0"/>
              <w:bottom w:val="single" w:color="auto" w:sz="4" w:space="0"/>
              <w:right w:val="single" w:color="auto" w:sz="4" w:space="0"/>
            </w:tcBorders>
            <w:shd w:val="clear" w:color="auto" w:fill="D7D7D7"/>
            <w:vAlign w:val="center"/>
          </w:tcPr>
          <w:p w14:paraId="674F118D">
            <w:pPr>
              <w:spacing w:line="500" w:lineRule="exact"/>
              <w:jc w:val="center"/>
              <w:rPr>
                <w:rFonts w:hint="eastAsia" w:ascii="宋体" w:hAnsi="宋体" w:eastAsia="宋体" w:cs="宋体"/>
                <w:sz w:val="18"/>
                <w:szCs w:val="18"/>
              </w:rPr>
            </w:pPr>
            <w:r>
              <w:rPr>
                <w:rFonts w:hint="eastAsia" w:ascii="宋体" w:hAnsi="宋体" w:eastAsia="宋体" w:cs="宋体"/>
                <w:sz w:val="18"/>
                <w:szCs w:val="18"/>
              </w:rPr>
              <w:t>课程类型</w:t>
            </w:r>
          </w:p>
        </w:tc>
        <w:tc>
          <w:tcPr>
            <w:tcW w:w="4125" w:type="dxa"/>
            <w:tcBorders>
              <w:top w:val="single" w:color="auto" w:sz="4" w:space="0"/>
              <w:left w:val="nil"/>
              <w:bottom w:val="single" w:color="auto" w:sz="4" w:space="0"/>
              <w:right w:val="single" w:color="auto" w:sz="4" w:space="0"/>
            </w:tcBorders>
            <w:shd w:val="clear" w:color="auto" w:fill="D7D7D7"/>
            <w:vAlign w:val="center"/>
          </w:tcPr>
          <w:p w14:paraId="2F5E9306">
            <w:pPr>
              <w:spacing w:line="500" w:lineRule="exact"/>
              <w:jc w:val="center"/>
              <w:rPr>
                <w:rFonts w:hint="eastAsia" w:ascii="宋体" w:hAnsi="宋体" w:eastAsia="宋体" w:cs="宋体"/>
                <w:sz w:val="18"/>
                <w:szCs w:val="18"/>
              </w:rPr>
            </w:pPr>
            <w:r>
              <w:rPr>
                <w:rFonts w:hint="eastAsia" w:ascii="宋体" w:hAnsi="宋体" w:eastAsia="宋体" w:cs="宋体"/>
                <w:sz w:val="18"/>
                <w:szCs w:val="18"/>
              </w:rPr>
              <w:t>学时比例（%）</w:t>
            </w:r>
          </w:p>
        </w:tc>
      </w:tr>
      <w:tr w14:paraId="3449CB12">
        <w:tblPrEx>
          <w:tblCellMar>
            <w:top w:w="0" w:type="dxa"/>
            <w:left w:w="108" w:type="dxa"/>
            <w:bottom w:w="0" w:type="dxa"/>
            <w:right w:w="108" w:type="dxa"/>
          </w:tblCellMar>
        </w:tblPrEx>
        <w:trPr>
          <w:trHeight w:val="472" w:hRule="atLeast"/>
        </w:trPr>
        <w:tc>
          <w:tcPr>
            <w:tcW w:w="4140" w:type="dxa"/>
            <w:tcBorders>
              <w:top w:val="single" w:color="auto" w:sz="4" w:space="0"/>
              <w:left w:val="single" w:color="auto" w:sz="4" w:space="0"/>
              <w:bottom w:val="single" w:color="auto" w:sz="4" w:space="0"/>
              <w:right w:val="single" w:color="auto" w:sz="4" w:space="0"/>
            </w:tcBorders>
            <w:vAlign w:val="center"/>
          </w:tcPr>
          <w:p w14:paraId="29CAC2B3">
            <w:pPr>
              <w:widowControl/>
              <w:jc w:val="center"/>
              <w:rPr>
                <w:rFonts w:hint="default"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lang w:val="en-US" w:eastAsia="zh-CN"/>
              </w:rPr>
              <w:t>公共基础课学时占比（%）</w:t>
            </w:r>
          </w:p>
        </w:tc>
        <w:tc>
          <w:tcPr>
            <w:tcW w:w="4125" w:type="dxa"/>
            <w:tcBorders>
              <w:top w:val="single" w:color="auto" w:sz="4" w:space="0"/>
              <w:left w:val="nil"/>
              <w:bottom w:val="single" w:color="auto" w:sz="4" w:space="0"/>
              <w:right w:val="single" w:color="auto" w:sz="4" w:space="0"/>
            </w:tcBorders>
          </w:tcPr>
          <w:p w14:paraId="16A0DCF8">
            <w:pPr>
              <w:widowControl/>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lang w:val="en-US" w:eastAsia="zh-CN"/>
              </w:rPr>
              <w:t>33.13</w:t>
            </w:r>
            <w:r>
              <w:rPr>
                <w:rFonts w:hint="eastAsia" w:ascii="仿宋_GB2312" w:hAnsi="仿宋_GB2312" w:eastAsia="仿宋_GB2312" w:cs="仿宋_GB2312"/>
                <w:kern w:val="0"/>
                <w:sz w:val="21"/>
                <w:szCs w:val="21"/>
              </w:rPr>
              <w:t>%</w:t>
            </w:r>
          </w:p>
        </w:tc>
      </w:tr>
      <w:tr w14:paraId="307C7046">
        <w:tblPrEx>
          <w:tblCellMar>
            <w:top w:w="0" w:type="dxa"/>
            <w:left w:w="108" w:type="dxa"/>
            <w:bottom w:w="0" w:type="dxa"/>
            <w:right w:w="108" w:type="dxa"/>
          </w:tblCellMar>
        </w:tblPrEx>
        <w:trPr>
          <w:trHeight w:val="376" w:hRule="atLeast"/>
        </w:trPr>
        <w:tc>
          <w:tcPr>
            <w:tcW w:w="4140" w:type="dxa"/>
            <w:tcBorders>
              <w:top w:val="single" w:color="auto" w:sz="4" w:space="0"/>
              <w:left w:val="single" w:color="auto" w:sz="4" w:space="0"/>
              <w:bottom w:val="single" w:color="auto" w:sz="4" w:space="0"/>
              <w:right w:val="single" w:color="auto" w:sz="4" w:space="0"/>
            </w:tcBorders>
            <w:vAlign w:val="center"/>
          </w:tcPr>
          <w:p w14:paraId="0E003521">
            <w:pPr>
              <w:widowControl/>
              <w:jc w:val="center"/>
              <w:rPr>
                <w:rFonts w:hint="default"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lang w:val="en-US" w:eastAsia="zh-CN"/>
              </w:rPr>
              <w:t>实践性教学学时占比（%）</w:t>
            </w:r>
          </w:p>
        </w:tc>
        <w:tc>
          <w:tcPr>
            <w:tcW w:w="4125" w:type="dxa"/>
            <w:tcBorders>
              <w:top w:val="single" w:color="auto" w:sz="4" w:space="0"/>
              <w:left w:val="nil"/>
              <w:bottom w:val="single" w:color="auto" w:sz="4" w:space="0"/>
              <w:right w:val="single" w:color="auto" w:sz="4" w:space="0"/>
            </w:tcBorders>
          </w:tcPr>
          <w:p w14:paraId="3E647F82">
            <w:pPr>
              <w:widowControl/>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lang w:val="en-US" w:eastAsia="zh-CN"/>
              </w:rPr>
              <w:t>57.56</w:t>
            </w:r>
            <w:r>
              <w:rPr>
                <w:rFonts w:hint="eastAsia" w:ascii="仿宋_GB2312" w:hAnsi="仿宋_GB2312" w:eastAsia="仿宋_GB2312" w:cs="仿宋_GB2312"/>
                <w:kern w:val="0"/>
                <w:sz w:val="21"/>
                <w:szCs w:val="21"/>
              </w:rPr>
              <w:t>%</w:t>
            </w:r>
          </w:p>
        </w:tc>
      </w:tr>
      <w:tr w14:paraId="3B89AD34">
        <w:tblPrEx>
          <w:tblCellMar>
            <w:top w:w="0" w:type="dxa"/>
            <w:left w:w="108" w:type="dxa"/>
            <w:bottom w:w="0" w:type="dxa"/>
            <w:right w:w="108" w:type="dxa"/>
          </w:tblCellMar>
        </w:tblPrEx>
        <w:trPr>
          <w:trHeight w:val="541" w:hRule="atLeast"/>
        </w:trPr>
        <w:tc>
          <w:tcPr>
            <w:tcW w:w="4140" w:type="dxa"/>
            <w:tcBorders>
              <w:top w:val="single" w:color="auto" w:sz="4" w:space="0"/>
              <w:left w:val="single" w:color="auto" w:sz="4" w:space="0"/>
              <w:bottom w:val="single" w:color="auto" w:sz="4" w:space="0"/>
              <w:right w:val="single" w:color="auto" w:sz="4" w:space="0"/>
            </w:tcBorders>
            <w:vAlign w:val="center"/>
          </w:tcPr>
          <w:p w14:paraId="30EC034C">
            <w:pPr>
              <w:widowControl/>
              <w:jc w:val="center"/>
              <w:rPr>
                <w:rFonts w:hint="default"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lang w:val="en-US" w:eastAsia="zh-CN"/>
              </w:rPr>
              <w:t>选修课教学学时占比（%）</w:t>
            </w:r>
          </w:p>
        </w:tc>
        <w:tc>
          <w:tcPr>
            <w:tcW w:w="4125" w:type="dxa"/>
            <w:tcBorders>
              <w:top w:val="single" w:color="auto" w:sz="4" w:space="0"/>
              <w:left w:val="nil"/>
              <w:bottom w:val="single" w:color="auto" w:sz="4" w:space="0"/>
              <w:right w:val="single" w:color="auto" w:sz="4" w:space="0"/>
            </w:tcBorders>
          </w:tcPr>
          <w:p w14:paraId="716B46D7">
            <w:pPr>
              <w:widowControl/>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lang w:val="en-US" w:eastAsia="zh-CN"/>
              </w:rPr>
              <w:t>10.89</w:t>
            </w:r>
            <w:r>
              <w:rPr>
                <w:rFonts w:hint="eastAsia" w:ascii="仿宋_GB2312" w:hAnsi="仿宋_GB2312" w:eastAsia="仿宋_GB2312" w:cs="仿宋_GB2312"/>
                <w:kern w:val="0"/>
                <w:sz w:val="21"/>
                <w:szCs w:val="21"/>
              </w:rPr>
              <w:t>%</w:t>
            </w:r>
          </w:p>
        </w:tc>
      </w:tr>
    </w:tbl>
    <w:p w14:paraId="3602B2D9">
      <w:pPr>
        <w:pStyle w:val="12"/>
        <w:ind w:firstLine="0" w:firstLineChars="0"/>
        <w:jc w:val="center"/>
        <w:rPr>
          <w:rFonts w:hint="eastAsia" w:ascii="宋体" w:hAnsi="宋体" w:eastAsia="宋体" w:cs="宋体"/>
          <w:b/>
          <w:bCs/>
          <w:color w:val="FF0000"/>
          <w:sz w:val="24"/>
        </w:rPr>
      </w:pPr>
    </w:p>
    <w:p w14:paraId="209410D7">
      <w:pPr>
        <w:overflowPunct w:val="0"/>
        <w:adjustRightInd w:val="0"/>
        <w:spacing w:line="500" w:lineRule="exact"/>
        <w:ind w:firstLine="640" w:firstLineChars="200"/>
        <w:outlineLvl w:val="0"/>
        <w:rPr>
          <w:rFonts w:hint="eastAsia" w:ascii="黑体" w:hAnsi="黑体" w:eastAsia="黑体" w:cs="黑体"/>
          <w:szCs w:val="32"/>
        </w:rPr>
      </w:pPr>
      <w:bookmarkStart w:id="8" w:name="_Toc2048"/>
      <w:bookmarkStart w:id="9" w:name="_Toc30965"/>
      <w:r>
        <w:rPr>
          <w:rFonts w:hint="eastAsia" w:ascii="黑体" w:hAnsi="黑体" w:eastAsia="黑体" w:cs="黑体"/>
          <w:szCs w:val="32"/>
        </w:rPr>
        <w:t>八、实施保障</w:t>
      </w:r>
      <w:bookmarkEnd w:id="8"/>
    </w:p>
    <w:p w14:paraId="6B56D20F">
      <w:pPr>
        <w:overflowPunct w:val="0"/>
        <w:adjustRightInd w:val="0"/>
        <w:spacing w:line="500" w:lineRule="exact"/>
        <w:ind w:firstLine="643" w:firstLineChars="200"/>
        <w:rPr>
          <w:rFonts w:hint="eastAsia" w:ascii="宋体" w:hAnsi="宋体" w:eastAsia="宋体" w:cs="宋体"/>
          <w:szCs w:val="32"/>
        </w:rPr>
      </w:pPr>
      <w:r>
        <w:rPr>
          <w:rFonts w:hint="eastAsia" w:ascii="楷体" w:hAnsi="楷体" w:eastAsia="楷体" w:cs="楷体"/>
          <w:b/>
          <w:szCs w:val="32"/>
        </w:rPr>
        <w:t>（一）师资队伍</w:t>
      </w:r>
    </w:p>
    <w:p w14:paraId="7CC56E00">
      <w:pPr>
        <w:pStyle w:val="12"/>
        <w:spacing w:line="500" w:lineRule="exact"/>
        <w:ind w:firstLine="560"/>
        <w:rPr>
          <w:sz w:val="28"/>
          <w:szCs w:val="28"/>
        </w:rPr>
      </w:pPr>
      <w:r>
        <w:rPr>
          <w:rFonts w:hint="eastAsia"/>
          <w:b/>
          <w:sz w:val="28"/>
          <w:szCs w:val="28"/>
        </w:rPr>
        <w:t>1.队伍结构</w:t>
      </w:r>
    </w:p>
    <w:p w14:paraId="3D19ED36">
      <w:pPr>
        <w:autoSpaceDE w:val="0"/>
        <w:autoSpaceDN w:val="0"/>
        <w:adjustRightInd w:val="0"/>
        <w:spacing w:line="500" w:lineRule="exact"/>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空中乘务务专业教学团队共有13名专兼职专业教师，其中专任教师9名，兼职教师4名。专任专业教师中，高级职称3人，占33%，具备“双师”素质6人，占67%。兼职教师来自行业企业以及高校，全部具有中级以上专业技术职称或职业资格证书。</w:t>
      </w:r>
    </w:p>
    <w:p w14:paraId="26AE0A29">
      <w:pPr>
        <w:pStyle w:val="12"/>
        <w:spacing w:line="500" w:lineRule="exact"/>
        <w:ind w:firstLine="560"/>
        <w:rPr>
          <w:sz w:val="28"/>
          <w:szCs w:val="28"/>
        </w:rPr>
      </w:pPr>
      <w:r>
        <w:rPr>
          <w:rFonts w:hint="eastAsia"/>
          <w:b/>
          <w:sz w:val="28"/>
          <w:szCs w:val="28"/>
        </w:rPr>
        <w:t>2.专任教师</w:t>
      </w:r>
    </w:p>
    <w:p w14:paraId="7DC87CB1">
      <w:pPr>
        <w:spacing w:line="500" w:lineRule="exact"/>
        <w:jc w:val="center"/>
        <w:rPr>
          <w:rFonts w:hint="eastAsia" w:ascii="宋体" w:hAnsi="宋体" w:eastAsia="宋体" w:cs="宋体"/>
          <w:b/>
          <w:bCs/>
          <w:sz w:val="24"/>
        </w:rPr>
      </w:pPr>
      <w:r>
        <w:rPr>
          <w:rFonts w:hint="eastAsia" w:ascii="宋体" w:hAnsi="宋体" w:eastAsia="宋体" w:cs="宋体"/>
          <w:b/>
          <w:bCs/>
          <w:sz w:val="24"/>
        </w:rPr>
        <w:t>表8 专业专任教师一览表</w:t>
      </w:r>
    </w:p>
    <w:tbl>
      <w:tblPr>
        <w:tblStyle w:val="9"/>
        <w:tblW w:w="8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9"/>
        <w:gridCol w:w="1380"/>
        <w:gridCol w:w="1078"/>
        <w:gridCol w:w="1408"/>
        <w:gridCol w:w="1079"/>
        <w:gridCol w:w="1113"/>
        <w:gridCol w:w="1309"/>
      </w:tblGrid>
      <w:tr w14:paraId="2ABB7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dxa"/>
            <w:shd w:val="clear" w:color="auto" w:fill="D7D7D7"/>
          </w:tcPr>
          <w:p w14:paraId="0F647C2E">
            <w:pPr>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380" w:type="dxa"/>
            <w:shd w:val="clear" w:color="auto" w:fill="D7D7D7"/>
          </w:tcPr>
          <w:p w14:paraId="1CFC9727">
            <w:pPr>
              <w:jc w:val="center"/>
              <w:rPr>
                <w:rFonts w:hint="eastAsia" w:ascii="宋体" w:hAnsi="宋体" w:eastAsia="宋体" w:cs="宋体"/>
                <w:b/>
                <w:bCs/>
                <w:sz w:val="21"/>
                <w:szCs w:val="21"/>
              </w:rPr>
            </w:pPr>
            <w:r>
              <w:rPr>
                <w:rFonts w:hint="eastAsia" w:ascii="宋体" w:hAnsi="宋体" w:eastAsia="宋体" w:cs="宋体"/>
                <w:b/>
                <w:bCs/>
                <w:sz w:val="21"/>
                <w:szCs w:val="21"/>
              </w:rPr>
              <w:t>姓名</w:t>
            </w:r>
          </w:p>
        </w:tc>
        <w:tc>
          <w:tcPr>
            <w:tcW w:w="1078" w:type="dxa"/>
            <w:shd w:val="clear" w:color="auto" w:fill="D7D7D7"/>
          </w:tcPr>
          <w:p w14:paraId="213F6D9D">
            <w:pPr>
              <w:jc w:val="center"/>
              <w:rPr>
                <w:rFonts w:hint="eastAsia" w:ascii="宋体" w:hAnsi="宋体" w:eastAsia="宋体" w:cs="宋体"/>
                <w:b/>
                <w:bCs/>
                <w:sz w:val="21"/>
                <w:szCs w:val="21"/>
              </w:rPr>
            </w:pPr>
            <w:r>
              <w:rPr>
                <w:rFonts w:hint="eastAsia" w:ascii="宋体" w:hAnsi="宋体" w:eastAsia="宋体" w:cs="宋体"/>
                <w:b/>
                <w:bCs/>
                <w:sz w:val="21"/>
                <w:szCs w:val="21"/>
              </w:rPr>
              <w:t>年龄</w:t>
            </w:r>
          </w:p>
        </w:tc>
        <w:tc>
          <w:tcPr>
            <w:tcW w:w="1408" w:type="dxa"/>
            <w:shd w:val="clear" w:color="auto" w:fill="D7D7D7"/>
          </w:tcPr>
          <w:p w14:paraId="195CED97">
            <w:pPr>
              <w:jc w:val="center"/>
              <w:rPr>
                <w:rFonts w:hint="eastAsia" w:ascii="宋体" w:hAnsi="宋体" w:eastAsia="宋体" w:cs="宋体"/>
                <w:b/>
                <w:bCs/>
                <w:sz w:val="21"/>
                <w:szCs w:val="21"/>
              </w:rPr>
            </w:pPr>
            <w:r>
              <w:rPr>
                <w:rFonts w:hint="eastAsia" w:ascii="宋体" w:hAnsi="宋体" w:eastAsia="宋体" w:cs="宋体"/>
                <w:b/>
                <w:bCs/>
                <w:sz w:val="21"/>
                <w:szCs w:val="21"/>
              </w:rPr>
              <w:t>职称</w:t>
            </w:r>
          </w:p>
        </w:tc>
        <w:tc>
          <w:tcPr>
            <w:tcW w:w="1079" w:type="dxa"/>
            <w:shd w:val="clear" w:color="auto" w:fill="D7D7D7"/>
          </w:tcPr>
          <w:p w14:paraId="1D136D42">
            <w:pPr>
              <w:jc w:val="center"/>
              <w:rPr>
                <w:rFonts w:hint="eastAsia" w:ascii="宋体" w:hAnsi="宋体" w:eastAsia="宋体" w:cs="宋体"/>
                <w:b/>
                <w:bCs/>
                <w:sz w:val="21"/>
                <w:szCs w:val="21"/>
              </w:rPr>
            </w:pPr>
            <w:r>
              <w:rPr>
                <w:rFonts w:hint="eastAsia" w:ascii="宋体" w:hAnsi="宋体" w:eastAsia="宋体" w:cs="宋体"/>
                <w:b/>
                <w:bCs/>
                <w:sz w:val="21"/>
                <w:szCs w:val="21"/>
              </w:rPr>
              <w:t>学历</w:t>
            </w:r>
          </w:p>
        </w:tc>
        <w:tc>
          <w:tcPr>
            <w:tcW w:w="1113" w:type="dxa"/>
            <w:shd w:val="clear" w:color="auto" w:fill="D7D7D7"/>
          </w:tcPr>
          <w:p w14:paraId="0D5347AF">
            <w:pPr>
              <w:jc w:val="center"/>
              <w:rPr>
                <w:rFonts w:hint="eastAsia" w:ascii="宋体" w:hAnsi="宋体" w:eastAsia="宋体" w:cs="宋体"/>
                <w:b/>
                <w:bCs/>
                <w:sz w:val="21"/>
                <w:szCs w:val="21"/>
              </w:rPr>
            </w:pPr>
            <w:r>
              <w:rPr>
                <w:rFonts w:hint="eastAsia" w:ascii="宋体" w:hAnsi="宋体" w:eastAsia="宋体" w:cs="宋体"/>
                <w:b/>
                <w:bCs/>
                <w:sz w:val="21"/>
                <w:szCs w:val="21"/>
              </w:rPr>
              <w:t>是否双师</w:t>
            </w:r>
          </w:p>
        </w:tc>
        <w:tc>
          <w:tcPr>
            <w:tcW w:w="1309" w:type="dxa"/>
            <w:shd w:val="clear" w:color="auto" w:fill="D7D7D7"/>
          </w:tcPr>
          <w:p w14:paraId="4EF1BBB9">
            <w:pPr>
              <w:jc w:val="center"/>
              <w:rPr>
                <w:rFonts w:hint="eastAsia" w:ascii="宋体" w:hAnsi="宋体" w:eastAsia="宋体" w:cs="宋体"/>
                <w:b/>
                <w:bCs/>
                <w:sz w:val="21"/>
                <w:szCs w:val="21"/>
              </w:rPr>
            </w:pPr>
            <w:r>
              <w:rPr>
                <w:rFonts w:hint="eastAsia" w:ascii="宋体" w:hAnsi="宋体" w:eastAsia="宋体" w:cs="宋体"/>
                <w:b/>
                <w:bCs/>
                <w:sz w:val="21"/>
                <w:szCs w:val="21"/>
              </w:rPr>
              <w:t>备注</w:t>
            </w:r>
          </w:p>
        </w:tc>
      </w:tr>
      <w:tr w14:paraId="3C345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dxa"/>
          </w:tcPr>
          <w:p w14:paraId="74ACECB8">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w:t>
            </w:r>
          </w:p>
        </w:tc>
        <w:tc>
          <w:tcPr>
            <w:tcW w:w="1380" w:type="dxa"/>
          </w:tcPr>
          <w:p w14:paraId="290255CB">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仝泽柳</w:t>
            </w:r>
          </w:p>
        </w:tc>
        <w:tc>
          <w:tcPr>
            <w:tcW w:w="1078" w:type="dxa"/>
          </w:tcPr>
          <w:p w14:paraId="59A20577">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43</w:t>
            </w:r>
          </w:p>
        </w:tc>
        <w:tc>
          <w:tcPr>
            <w:tcW w:w="1408" w:type="dxa"/>
          </w:tcPr>
          <w:p w14:paraId="37B89354">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副教授</w:t>
            </w:r>
          </w:p>
        </w:tc>
        <w:tc>
          <w:tcPr>
            <w:tcW w:w="1079" w:type="dxa"/>
          </w:tcPr>
          <w:p w14:paraId="3EF8C2F9">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本科</w:t>
            </w:r>
          </w:p>
        </w:tc>
        <w:tc>
          <w:tcPr>
            <w:tcW w:w="1113" w:type="dxa"/>
          </w:tcPr>
          <w:p w14:paraId="685CB2E8">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是</w:t>
            </w:r>
          </w:p>
        </w:tc>
        <w:tc>
          <w:tcPr>
            <w:tcW w:w="1309" w:type="dxa"/>
          </w:tcPr>
          <w:p w14:paraId="47485010">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副院长</w:t>
            </w:r>
          </w:p>
        </w:tc>
      </w:tr>
      <w:tr w14:paraId="5E775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dxa"/>
          </w:tcPr>
          <w:p w14:paraId="3E1CE8A0">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w:t>
            </w:r>
          </w:p>
        </w:tc>
        <w:tc>
          <w:tcPr>
            <w:tcW w:w="1380" w:type="dxa"/>
          </w:tcPr>
          <w:p w14:paraId="761511B2">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刘陆燕</w:t>
            </w:r>
          </w:p>
        </w:tc>
        <w:tc>
          <w:tcPr>
            <w:tcW w:w="1078" w:type="dxa"/>
          </w:tcPr>
          <w:p w14:paraId="2154D61F">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42</w:t>
            </w:r>
          </w:p>
        </w:tc>
        <w:tc>
          <w:tcPr>
            <w:tcW w:w="1408" w:type="dxa"/>
          </w:tcPr>
          <w:p w14:paraId="4EA731DC">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副教授</w:t>
            </w:r>
          </w:p>
        </w:tc>
        <w:tc>
          <w:tcPr>
            <w:tcW w:w="1079" w:type="dxa"/>
          </w:tcPr>
          <w:p w14:paraId="7F30B383">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本科</w:t>
            </w:r>
          </w:p>
        </w:tc>
        <w:tc>
          <w:tcPr>
            <w:tcW w:w="1113" w:type="dxa"/>
          </w:tcPr>
          <w:p w14:paraId="0A63ACB1">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是</w:t>
            </w:r>
          </w:p>
        </w:tc>
        <w:tc>
          <w:tcPr>
            <w:tcW w:w="1309" w:type="dxa"/>
          </w:tcPr>
          <w:p w14:paraId="2CE4BEC5">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专业带头人</w:t>
            </w:r>
          </w:p>
        </w:tc>
      </w:tr>
      <w:tr w14:paraId="288E1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dxa"/>
          </w:tcPr>
          <w:p w14:paraId="2315D400">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w:t>
            </w:r>
          </w:p>
        </w:tc>
        <w:tc>
          <w:tcPr>
            <w:tcW w:w="1380" w:type="dxa"/>
          </w:tcPr>
          <w:p w14:paraId="1772D8D2">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蔡月鹏</w:t>
            </w:r>
          </w:p>
        </w:tc>
        <w:tc>
          <w:tcPr>
            <w:tcW w:w="1078" w:type="dxa"/>
          </w:tcPr>
          <w:p w14:paraId="2BF4BB72">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42</w:t>
            </w:r>
          </w:p>
        </w:tc>
        <w:tc>
          <w:tcPr>
            <w:tcW w:w="1408" w:type="dxa"/>
          </w:tcPr>
          <w:p w14:paraId="66C7BF02">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副教授</w:t>
            </w:r>
          </w:p>
        </w:tc>
        <w:tc>
          <w:tcPr>
            <w:tcW w:w="1079" w:type="dxa"/>
          </w:tcPr>
          <w:p w14:paraId="17F78B37">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本科</w:t>
            </w:r>
          </w:p>
        </w:tc>
        <w:tc>
          <w:tcPr>
            <w:tcW w:w="1113" w:type="dxa"/>
          </w:tcPr>
          <w:p w14:paraId="0EA48E81">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是</w:t>
            </w:r>
          </w:p>
        </w:tc>
        <w:tc>
          <w:tcPr>
            <w:tcW w:w="1309" w:type="dxa"/>
          </w:tcPr>
          <w:p w14:paraId="59FBB651">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骨干教师</w:t>
            </w:r>
          </w:p>
        </w:tc>
      </w:tr>
      <w:tr w14:paraId="44BAE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dxa"/>
          </w:tcPr>
          <w:p w14:paraId="6E377731">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w:t>
            </w:r>
          </w:p>
        </w:tc>
        <w:tc>
          <w:tcPr>
            <w:tcW w:w="1380" w:type="dxa"/>
          </w:tcPr>
          <w:p w14:paraId="60E48C2F">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张文扬</w:t>
            </w:r>
          </w:p>
        </w:tc>
        <w:tc>
          <w:tcPr>
            <w:tcW w:w="1078" w:type="dxa"/>
          </w:tcPr>
          <w:p w14:paraId="3AE2CACE">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28</w:t>
            </w:r>
          </w:p>
        </w:tc>
        <w:tc>
          <w:tcPr>
            <w:tcW w:w="1408" w:type="dxa"/>
          </w:tcPr>
          <w:p w14:paraId="298B119C">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助教</w:t>
            </w:r>
          </w:p>
        </w:tc>
        <w:tc>
          <w:tcPr>
            <w:tcW w:w="1079" w:type="dxa"/>
          </w:tcPr>
          <w:p w14:paraId="572F602B">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本科</w:t>
            </w:r>
          </w:p>
        </w:tc>
        <w:tc>
          <w:tcPr>
            <w:tcW w:w="1113" w:type="dxa"/>
          </w:tcPr>
          <w:p w14:paraId="4F892AEF">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是</w:t>
            </w:r>
          </w:p>
        </w:tc>
        <w:tc>
          <w:tcPr>
            <w:tcW w:w="1309" w:type="dxa"/>
          </w:tcPr>
          <w:p w14:paraId="5C410071">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教研室主任骨干教师</w:t>
            </w:r>
          </w:p>
        </w:tc>
      </w:tr>
      <w:tr w14:paraId="45CFB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dxa"/>
          </w:tcPr>
          <w:p w14:paraId="50FB137C">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5</w:t>
            </w:r>
          </w:p>
        </w:tc>
        <w:tc>
          <w:tcPr>
            <w:tcW w:w="1380" w:type="dxa"/>
          </w:tcPr>
          <w:p w14:paraId="4B276073">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李欣怡</w:t>
            </w:r>
          </w:p>
        </w:tc>
        <w:tc>
          <w:tcPr>
            <w:tcW w:w="1078" w:type="dxa"/>
          </w:tcPr>
          <w:p w14:paraId="40AC04E7">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29</w:t>
            </w:r>
          </w:p>
        </w:tc>
        <w:tc>
          <w:tcPr>
            <w:tcW w:w="1408" w:type="dxa"/>
          </w:tcPr>
          <w:p w14:paraId="2244E5B1">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助教</w:t>
            </w:r>
          </w:p>
        </w:tc>
        <w:tc>
          <w:tcPr>
            <w:tcW w:w="1079" w:type="dxa"/>
          </w:tcPr>
          <w:p w14:paraId="482C6DA0">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本科</w:t>
            </w:r>
          </w:p>
        </w:tc>
        <w:tc>
          <w:tcPr>
            <w:tcW w:w="1113" w:type="dxa"/>
          </w:tcPr>
          <w:p w14:paraId="6B76610C">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是</w:t>
            </w:r>
          </w:p>
        </w:tc>
        <w:tc>
          <w:tcPr>
            <w:tcW w:w="1309" w:type="dxa"/>
          </w:tcPr>
          <w:p w14:paraId="377605F7">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骨干教师</w:t>
            </w:r>
          </w:p>
        </w:tc>
      </w:tr>
      <w:tr w14:paraId="5CC50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dxa"/>
          </w:tcPr>
          <w:p w14:paraId="4BD0640E">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6</w:t>
            </w:r>
          </w:p>
        </w:tc>
        <w:tc>
          <w:tcPr>
            <w:tcW w:w="1380" w:type="dxa"/>
          </w:tcPr>
          <w:p w14:paraId="149B4B93">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杨首俏</w:t>
            </w:r>
          </w:p>
        </w:tc>
        <w:tc>
          <w:tcPr>
            <w:tcW w:w="1078" w:type="dxa"/>
          </w:tcPr>
          <w:p w14:paraId="24AEFBC1">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29</w:t>
            </w:r>
          </w:p>
        </w:tc>
        <w:tc>
          <w:tcPr>
            <w:tcW w:w="1408" w:type="dxa"/>
          </w:tcPr>
          <w:p w14:paraId="67FCDB2D">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助教</w:t>
            </w:r>
          </w:p>
        </w:tc>
        <w:tc>
          <w:tcPr>
            <w:tcW w:w="1079" w:type="dxa"/>
          </w:tcPr>
          <w:p w14:paraId="6A7132CC">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本科</w:t>
            </w:r>
          </w:p>
        </w:tc>
        <w:tc>
          <w:tcPr>
            <w:tcW w:w="1113" w:type="dxa"/>
          </w:tcPr>
          <w:p w14:paraId="13B6BA11">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是</w:t>
            </w:r>
          </w:p>
        </w:tc>
        <w:tc>
          <w:tcPr>
            <w:tcW w:w="1309" w:type="dxa"/>
          </w:tcPr>
          <w:p w14:paraId="640CDE9D">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骨干教师</w:t>
            </w:r>
          </w:p>
        </w:tc>
      </w:tr>
      <w:tr w14:paraId="4ED20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dxa"/>
          </w:tcPr>
          <w:p w14:paraId="0EDC0315">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7</w:t>
            </w:r>
          </w:p>
        </w:tc>
        <w:tc>
          <w:tcPr>
            <w:tcW w:w="1380" w:type="dxa"/>
          </w:tcPr>
          <w:p w14:paraId="296EFEF1">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贾丹丹</w:t>
            </w:r>
          </w:p>
        </w:tc>
        <w:tc>
          <w:tcPr>
            <w:tcW w:w="1078" w:type="dxa"/>
          </w:tcPr>
          <w:p w14:paraId="223733E0">
            <w:pPr>
              <w:tabs>
                <w:tab w:val="left" w:pos="384"/>
              </w:tabs>
              <w:spacing w:line="500" w:lineRule="exact"/>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32</w:t>
            </w:r>
          </w:p>
        </w:tc>
        <w:tc>
          <w:tcPr>
            <w:tcW w:w="1408" w:type="dxa"/>
          </w:tcPr>
          <w:p w14:paraId="3ACDE76D">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助教</w:t>
            </w:r>
          </w:p>
        </w:tc>
        <w:tc>
          <w:tcPr>
            <w:tcW w:w="1079" w:type="dxa"/>
          </w:tcPr>
          <w:p w14:paraId="08340C47">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研究生</w:t>
            </w:r>
          </w:p>
        </w:tc>
        <w:tc>
          <w:tcPr>
            <w:tcW w:w="1113" w:type="dxa"/>
          </w:tcPr>
          <w:p w14:paraId="4FC7C4CD">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否</w:t>
            </w:r>
          </w:p>
        </w:tc>
        <w:tc>
          <w:tcPr>
            <w:tcW w:w="1309" w:type="dxa"/>
          </w:tcPr>
          <w:p w14:paraId="3DD5D17A">
            <w:pPr>
              <w:spacing w:line="500" w:lineRule="exact"/>
              <w:jc w:val="center"/>
              <w:rPr>
                <w:rFonts w:hint="eastAsia" w:ascii="仿宋_GB2312" w:hAnsi="仿宋_GB2312" w:eastAsia="仿宋_GB2312" w:cs="仿宋_GB2312"/>
                <w:sz w:val="21"/>
                <w:szCs w:val="21"/>
              </w:rPr>
            </w:pPr>
          </w:p>
        </w:tc>
      </w:tr>
      <w:tr w14:paraId="40E9F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dxa"/>
          </w:tcPr>
          <w:p w14:paraId="6AC1F365">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w:t>
            </w:r>
          </w:p>
        </w:tc>
        <w:tc>
          <w:tcPr>
            <w:tcW w:w="1380" w:type="dxa"/>
          </w:tcPr>
          <w:p w14:paraId="2DA34960">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宫静静</w:t>
            </w:r>
          </w:p>
        </w:tc>
        <w:tc>
          <w:tcPr>
            <w:tcW w:w="1078" w:type="dxa"/>
          </w:tcPr>
          <w:p w14:paraId="6C42BFFD">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27</w:t>
            </w:r>
          </w:p>
        </w:tc>
        <w:tc>
          <w:tcPr>
            <w:tcW w:w="1408" w:type="dxa"/>
          </w:tcPr>
          <w:p w14:paraId="57CC3E20">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助教</w:t>
            </w:r>
          </w:p>
        </w:tc>
        <w:tc>
          <w:tcPr>
            <w:tcW w:w="1079" w:type="dxa"/>
          </w:tcPr>
          <w:p w14:paraId="51783D25">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研究生</w:t>
            </w:r>
          </w:p>
        </w:tc>
        <w:tc>
          <w:tcPr>
            <w:tcW w:w="1113" w:type="dxa"/>
          </w:tcPr>
          <w:p w14:paraId="0CCEA763">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否</w:t>
            </w:r>
          </w:p>
        </w:tc>
        <w:tc>
          <w:tcPr>
            <w:tcW w:w="1309" w:type="dxa"/>
          </w:tcPr>
          <w:p w14:paraId="6EF82680">
            <w:pPr>
              <w:spacing w:line="500" w:lineRule="exact"/>
              <w:jc w:val="center"/>
              <w:rPr>
                <w:rFonts w:hint="eastAsia" w:ascii="仿宋_GB2312" w:hAnsi="仿宋_GB2312" w:eastAsia="仿宋_GB2312" w:cs="仿宋_GB2312"/>
                <w:sz w:val="21"/>
                <w:szCs w:val="21"/>
              </w:rPr>
            </w:pPr>
          </w:p>
        </w:tc>
      </w:tr>
      <w:tr w14:paraId="7E27F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dxa"/>
          </w:tcPr>
          <w:p w14:paraId="6B9336EE">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9</w:t>
            </w:r>
          </w:p>
        </w:tc>
        <w:tc>
          <w:tcPr>
            <w:tcW w:w="1380" w:type="dxa"/>
          </w:tcPr>
          <w:p w14:paraId="09AF4419">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张颖</w:t>
            </w:r>
          </w:p>
        </w:tc>
        <w:tc>
          <w:tcPr>
            <w:tcW w:w="1078" w:type="dxa"/>
          </w:tcPr>
          <w:p w14:paraId="23D41B78">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23</w:t>
            </w:r>
          </w:p>
        </w:tc>
        <w:tc>
          <w:tcPr>
            <w:tcW w:w="1408" w:type="dxa"/>
          </w:tcPr>
          <w:p w14:paraId="1B2EA0C4">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助教</w:t>
            </w:r>
          </w:p>
        </w:tc>
        <w:tc>
          <w:tcPr>
            <w:tcW w:w="1079" w:type="dxa"/>
          </w:tcPr>
          <w:p w14:paraId="66DA2E55">
            <w:pPr>
              <w:spacing w:line="50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xml:space="preserve">  本科</w:t>
            </w:r>
          </w:p>
        </w:tc>
        <w:tc>
          <w:tcPr>
            <w:tcW w:w="1113" w:type="dxa"/>
          </w:tcPr>
          <w:p w14:paraId="5B305662">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否</w:t>
            </w:r>
          </w:p>
        </w:tc>
        <w:tc>
          <w:tcPr>
            <w:tcW w:w="1309" w:type="dxa"/>
          </w:tcPr>
          <w:p w14:paraId="686ECFD5">
            <w:pPr>
              <w:spacing w:line="500" w:lineRule="exact"/>
              <w:jc w:val="center"/>
              <w:rPr>
                <w:rFonts w:hint="eastAsia" w:ascii="仿宋_GB2312" w:hAnsi="仿宋_GB2312" w:eastAsia="仿宋_GB2312" w:cs="仿宋_GB2312"/>
                <w:sz w:val="21"/>
                <w:szCs w:val="21"/>
              </w:rPr>
            </w:pPr>
          </w:p>
        </w:tc>
      </w:tr>
    </w:tbl>
    <w:p w14:paraId="5F2AE559">
      <w:pPr>
        <w:pStyle w:val="12"/>
        <w:spacing w:line="500" w:lineRule="exact"/>
        <w:ind w:firstLine="640"/>
      </w:pPr>
      <w:r>
        <w:rPr>
          <w:rFonts w:hint="eastAsia"/>
          <w:b/>
        </w:rPr>
        <w:t>3.专业带头人</w:t>
      </w:r>
    </w:p>
    <w:p w14:paraId="0BAD7F98">
      <w:pPr>
        <w:pStyle w:val="12"/>
        <w:ind w:firstLine="560"/>
        <w:rPr>
          <w:rFonts w:hint="eastAsia" w:ascii="方正仿宋_GB2312" w:hAnsi="方正仿宋_GB2312" w:eastAsia="方正仿宋_GB2312" w:cs="方正仿宋_GB2312"/>
          <w:sz w:val="28"/>
          <w:szCs w:val="22"/>
        </w:rPr>
      </w:pPr>
      <w:r>
        <w:rPr>
          <w:rFonts w:hint="eastAsia" w:ascii="方正仿宋_GB2312" w:hAnsi="方正仿宋_GB2312" w:eastAsia="方正仿宋_GB2312" w:cs="方正仿宋_GB2312"/>
          <w:sz w:val="28"/>
          <w:szCs w:val="22"/>
        </w:rPr>
        <w:t>仝泽柳：男，硕士研究生，副教授，交通运输类专业带头人，江苏省“青蓝工程”优秀青年骨干教师，现任建东职业技术学院航空服务学院副院长。近年来，主持或参与多项教科研课题，熟悉交通运输行业的发展，了解民航、高铁、城市轨道交通等行业人才需求，在人才培养、专业建设、课程建设、校企合作等方面有丰富的经验和成果。</w:t>
      </w:r>
    </w:p>
    <w:p w14:paraId="1A04B227">
      <w:pPr>
        <w:pStyle w:val="12"/>
        <w:spacing w:line="500" w:lineRule="exact"/>
        <w:ind w:firstLine="0" w:firstLineChars="0"/>
      </w:pPr>
      <w:r>
        <w:rPr>
          <w:rFonts w:hint="eastAsia"/>
          <w:b/>
        </w:rPr>
        <w:t xml:space="preserve">  4.兼职教师</w:t>
      </w:r>
    </w:p>
    <w:p w14:paraId="41334408">
      <w:pPr>
        <w:spacing w:line="500" w:lineRule="exact"/>
        <w:jc w:val="center"/>
        <w:rPr>
          <w:rFonts w:hint="eastAsia" w:ascii="宋体" w:hAnsi="宋体" w:eastAsia="宋体" w:cs="宋体"/>
          <w:b/>
          <w:bCs/>
          <w:sz w:val="18"/>
          <w:szCs w:val="18"/>
        </w:rPr>
      </w:pPr>
      <w:r>
        <w:rPr>
          <w:rFonts w:hint="eastAsia" w:ascii="宋体" w:hAnsi="宋体" w:eastAsia="宋体" w:cs="宋体"/>
          <w:b/>
          <w:bCs/>
          <w:sz w:val="24"/>
        </w:rPr>
        <w:t>表9 专业兼职教师一览表</w:t>
      </w:r>
    </w:p>
    <w:tbl>
      <w:tblPr>
        <w:tblStyle w:val="9"/>
        <w:tblW w:w="81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211"/>
        <w:gridCol w:w="1538"/>
        <w:gridCol w:w="1663"/>
        <w:gridCol w:w="1597"/>
        <w:gridCol w:w="1344"/>
      </w:tblGrid>
      <w:tr w14:paraId="0BF8E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shd w:val="clear" w:color="auto" w:fill="D7D7D7"/>
            <w:vAlign w:val="center"/>
          </w:tcPr>
          <w:p w14:paraId="66C5B3C8">
            <w:pPr>
              <w:jc w:val="center"/>
              <w:rPr>
                <w:rFonts w:hint="eastAsia" w:ascii="方正仿宋_GB2312" w:hAnsi="方正仿宋_GB2312" w:eastAsia="方正仿宋_GB2312" w:cs="方正仿宋_GB2312"/>
                <w:b/>
                <w:bCs/>
                <w:sz w:val="21"/>
                <w:szCs w:val="21"/>
              </w:rPr>
            </w:pPr>
            <w:r>
              <w:rPr>
                <w:rFonts w:hint="eastAsia" w:ascii="方正仿宋_GB2312" w:hAnsi="方正仿宋_GB2312" w:eastAsia="方正仿宋_GB2312" w:cs="方正仿宋_GB2312"/>
                <w:b/>
                <w:bCs/>
                <w:sz w:val="21"/>
                <w:szCs w:val="21"/>
              </w:rPr>
              <w:t>序号</w:t>
            </w:r>
          </w:p>
        </w:tc>
        <w:tc>
          <w:tcPr>
            <w:tcW w:w="1211" w:type="dxa"/>
            <w:shd w:val="clear" w:color="auto" w:fill="D7D7D7"/>
            <w:vAlign w:val="center"/>
          </w:tcPr>
          <w:p w14:paraId="498EE76F">
            <w:pPr>
              <w:jc w:val="center"/>
              <w:rPr>
                <w:rFonts w:hint="eastAsia" w:ascii="方正仿宋_GB2312" w:hAnsi="方正仿宋_GB2312" w:eastAsia="方正仿宋_GB2312" w:cs="方正仿宋_GB2312"/>
                <w:b/>
                <w:bCs/>
                <w:sz w:val="21"/>
                <w:szCs w:val="21"/>
              </w:rPr>
            </w:pPr>
            <w:r>
              <w:rPr>
                <w:rFonts w:hint="eastAsia" w:ascii="方正仿宋_GB2312" w:hAnsi="方正仿宋_GB2312" w:eastAsia="方正仿宋_GB2312" w:cs="方正仿宋_GB2312"/>
                <w:b/>
                <w:bCs/>
                <w:sz w:val="21"/>
                <w:szCs w:val="21"/>
              </w:rPr>
              <w:t>姓名</w:t>
            </w:r>
          </w:p>
        </w:tc>
        <w:tc>
          <w:tcPr>
            <w:tcW w:w="1538" w:type="dxa"/>
            <w:shd w:val="clear" w:color="auto" w:fill="D7D7D7"/>
            <w:vAlign w:val="center"/>
          </w:tcPr>
          <w:p w14:paraId="0A5156C2">
            <w:pPr>
              <w:jc w:val="center"/>
              <w:rPr>
                <w:rFonts w:hint="eastAsia" w:ascii="方正仿宋_GB2312" w:hAnsi="方正仿宋_GB2312" w:eastAsia="方正仿宋_GB2312" w:cs="方正仿宋_GB2312"/>
                <w:b/>
                <w:bCs/>
                <w:sz w:val="21"/>
                <w:szCs w:val="21"/>
              </w:rPr>
            </w:pPr>
            <w:r>
              <w:rPr>
                <w:rFonts w:hint="eastAsia" w:ascii="方正仿宋_GB2312" w:hAnsi="方正仿宋_GB2312" w:eastAsia="方正仿宋_GB2312" w:cs="方正仿宋_GB2312"/>
                <w:b/>
                <w:bCs/>
                <w:sz w:val="21"/>
                <w:szCs w:val="21"/>
              </w:rPr>
              <w:t>职称</w:t>
            </w:r>
          </w:p>
        </w:tc>
        <w:tc>
          <w:tcPr>
            <w:tcW w:w="1663" w:type="dxa"/>
            <w:shd w:val="clear" w:color="auto" w:fill="D7D7D7"/>
            <w:vAlign w:val="center"/>
          </w:tcPr>
          <w:p w14:paraId="6D7A0440">
            <w:pPr>
              <w:jc w:val="center"/>
              <w:rPr>
                <w:rFonts w:hint="eastAsia" w:ascii="方正仿宋_GB2312" w:hAnsi="方正仿宋_GB2312" w:eastAsia="方正仿宋_GB2312" w:cs="方正仿宋_GB2312"/>
                <w:b/>
                <w:bCs/>
                <w:sz w:val="21"/>
                <w:szCs w:val="21"/>
              </w:rPr>
            </w:pPr>
            <w:r>
              <w:rPr>
                <w:rFonts w:hint="eastAsia" w:ascii="方正仿宋_GB2312" w:hAnsi="方正仿宋_GB2312" w:eastAsia="方正仿宋_GB2312" w:cs="方正仿宋_GB2312"/>
                <w:b/>
                <w:bCs/>
                <w:sz w:val="21"/>
                <w:szCs w:val="21"/>
              </w:rPr>
              <w:t>工作单位</w:t>
            </w:r>
          </w:p>
        </w:tc>
        <w:tc>
          <w:tcPr>
            <w:tcW w:w="1597" w:type="dxa"/>
            <w:shd w:val="clear" w:color="auto" w:fill="D7D7D7"/>
            <w:vAlign w:val="center"/>
          </w:tcPr>
          <w:p w14:paraId="7D01F8CB">
            <w:pPr>
              <w:jc w:val="center"/>
              <w:rPr>
                <w:rFonts w:hint="eastAsia" w:ascii="方正仿宋_GB2312" w:hAnsi="方正仿宋_GB2312" w:eastAsia="方正仿宋_GB2312" w:cs="方正仿宋_GB2312"/>
                <w:b/>
                <w:bCs/>
                <w:sz w:val="21"/>
                <w:szCs w:val="21"/>
              </w:rPr>
            </w:pPr>
            <w:r>
              <w:rPr>
                <w:rFonts w:hint="eastAsia" w:ascii="方正仿宋_GB2312" w:hAnsi="方正仿宋_GB2312" w:eastAsia="方正仿宋_GB2312" w:cs="方正仿宋_GB2312"/>
                <w:b/>
                <w:bCs/>
                <w:sz w:val="21"/>
                <w:szCs w:val="21"/>
              </w:rPr>
              <w:t>岗位或职务</w:t>
            </w:r>
          </w:p>
        </w:tc>
        <w:tc>
          <w:tcPr>
            <w:tcW w:w="1344" w:type="dxa"/>
            <w:shd w:val="clear" w:color="auto" w:fill="D7D7D7"/>
            <w:vAlign w:val="center"/>
          </w:tcPr>
          <w:p w14:paraId="4FB2732A">
            <w:pPr>
              <w:jc w:val="center"/>
              <w:rPr>
                <w:rFonts w:hint="eastAsia" w:ascii="方正仿宋_GB2312" w:hAnsi="方正仿宋_GB2312" w:eastAsia="方正仿宋_GB2312" w:cs="方正仿宋_GB2312"/>
                <w:b/>
                <w:bCs/>
                <w:sz w:val="21"/>
                <w:szCs w:val="21"/>
              </w:rPr>
            </w:pPr>
            <w:r>
              <w:rPr>
                <w:rFonts w:hint="eastAsia" w:ascii="方正仿宋_GB2312" w:hAnsi="方正仿宋_GB2312" w:eastAsia="方正仿宋_GB2312" w:cs="方正仿宋_GB2312"/>
                <w:b/>
                <w:bCs/>
                <w:sz w:val="21"/>
                <w:szCs w:val="21"/>
              </w:rPr>
              <w:t>承担的兼职工作</w:t>
            </w:r>
          </w:p>
        </w:tc>
      </w:tr>
      <w:tr w14:paraId="612CC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81BC607">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1</w:t>
            </w:r>
          </w:p>
        </w:tc>
        <w:tc>
          <w:tcPr>
            <w:tcW w:w="1211" w:type="dxa"/>
            <w:vAlign w:val="center"/>
          </w:tcPr>
          <w:p w14:paraId="0C88E3D2">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高振发</w:t>
            </w:r>
          </w:p>
        </w:tc>
        <w:tc>
          <w:tcPr>
            <w:tcW w:w="1538" w:type="dxa"/>
            <w:vAlign w:val="center"/>
          </w:tcPr>
          <w:p w14:paraId="7A98AAA1">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特聘教授</w:t>
            </w:r>
          </w:p>
        </w:tc>
        <w:tc>
          <w:tcPr>
            <w:tcW w:w="1663" w:type="dxa"/>
            <w:vAlign w:val="center"/>
          </w:tcPr>
          <w:p w14:paraId="4DD6DD4C">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常州工业职业技术学院</w:t>
            </w:r>
          </w:p>
        </w:tc>
        <w:tc>
          <w:tcPr>
            <w:tcW w:w="1597" w:type="dxa"/>
            <w:vAlign w:val="center"/>
          </w:tcPr>
          <w:p w14:paraId="46F47B5C">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原旅游与康养学院党委书记</w:t>
            </w:r>
          </w:p>
        </w:tc>
        <w:tc>
          <w:tcPr>
            <w:tcW w:w="1344" w:type="dxa"/>
            <w:vAlign w:val="center"/>
          </w:tcPr>
          <w:p w14:paraId="2C2D4E97">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专业建设</w:t>
            </w:r>
          </w:p>
        </w:tc>
      </w:tr>
      <w:tr w14:paraId="070FA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0EA855D7">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2</w:t>
            </w:r>
          </w:p>
        </w:tc>
        <w:tc>
          <w:tcPr>
            <w:tcW w:w="1211" w:type="dxa"/>
            <w:vAlign w:val="center"/>
          </w:tcPr>
          <w:p w14:paraId="6AF1D4F9">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邵立</w:t>
            </w:r>
          </w:p>
        </w:tc>
        <w:tc>
          <w:tcPr>
            <w:tcW w:w="1538" w:type="dxa"/>
            <w:vAlign w:val="center"/>
          </w:tcPr>
          <w:p w14:paraId="5A843351">
            <w:pP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   </w:t>
            </w:r>
          </w:p>
        </w:tc>
        <w:tc>
          <w:tcPr>
            <w:tcW w:w="1663" w:type="dxa"/>
            <w:vAlign w:val="center"/>
          </w:tcPr>
          <w:p w14:paraId="1CB182C5">
            <w:pPr>
              <w:tabs>
                <w:tab w:val="left" w:pos="461"/>
              </w:tabs>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  东方航空</w:t>
            </w:r>
          </w:p>
        </w:tc>
        <w:tc>
          <w:tcPr>
            <w:tcW w:w="1597" w:type="dxa"/>
            <w:vAlign w:val="center"/>
          </w:tcPr>
          <w:p w14:paraId="60F278F6">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地勤</w:t>
            </w:r>
          </w:p>
        </w:tc>
        <w:tc>
          <w:tcPr>
            <w:tcW w:w="1344" w:type="dxa"/>
            <w:vAlign w:val="center"/>
          </w:tcPr>
          <w:p w14:paraId="51175473">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课程教学</w:t>
            </w:r>
          </w:p>
        </w:tc>
      </w:tr>
      <w:tr w14:paraId="202AA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F67D2D4">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3</w:t>
            </w:r>
          </w:p>
        </w:tc>
        <w:tc>
          <w:tcPr>
            <w:tcW w:w="1211" w:type="dxa"/>
            <w:vAlign w:val="center"/>
          </w:tcPr>
          <w:p w14:paraId="4D101DD4">
            <w:pP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 杨梦尧</w:t>
            </w:r>
          </w:p>
        </w:tc>
        <w:tc>
          <w:tcPr>
            <w:tcW w:w="1538" w:type="dxa"/>
            <w:vAlign w:val="center"/>
          </w:tcPr>
          <w:p w14:paraId="7E552FF2">
            <w:pP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  </w:t>
            </w:r>
          </w:p>
        </w:tc>
        <w:tc>
          <w:tcPr>
            <w:tcW w:w="1663" w:type="dxa"/>
            <w:vAlign w:val="center"/>
          </w:tcPr>
          <w:p w14:paraId="251D4044">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常州现代传媒中心</w:t>
            </w:r>
          </w:p>
        </w:tc>
        <w:tc>
          <w:tcPr>
            <w:tcW w:w="1597" w:type="dxa"/>
            <w:vAlign w:val="center"/>
          </w:tcPr>
          <w:p w14:paraId="6E373329">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培训讲师</w:t>
            </w:r>
          </w:p>
        </w:tc>
        <w:tc>
          <w:tcPr>
            <w:tcW w:w="1344" w:type="dxa"/>
            <w:vAlign w:val="center"/>
          </w:tcPr>
          <w:p w14:paraId="56B2B084">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课程教学</w:t>
            </w:r>
          </w:p>
        </w:tc>
      </w:tr>
      <w:tr w14:paraId="44D76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1F1348CC">
            <w:pP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  4 </w:t>
            </w:r>
          </w:p>
        </w:tc>
        <w:tc>
          <w:tcPr>
            <w:tcW w:w="1211" w:type="dxa"/>
            <w:vAlign w:val="center"/>
          </w:tcPr>
          <w:p w14:paraId="41DC6FD5">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江宁</w:t>
            </w:r>
          </w:p>
        </w:tc>
        <w:tc>
          <w:tcPr>
            <w:tcW w:w="1538" w:type="dxa"/>
            <w:vAlign w:val="center"/>
          </w:tcPr>
          <w:p w14:paraId="40BB2149">
            <w:pPr>
              <w:ind w:firstLine="420" w:firstLineChars="200"/>
              <w:rPr>
                <w:rFonts w:hint="eastAsia" w:ascii="方正仿宋_GB2312" w:hAnsi="方正仿宋_GB2312" w:eastAsia="方正仿宋_GB2312" w:cs="方正仿宋_GB2312"/>
                <w:sz w:val="21"/>
                <w:szCs w:val="21"/>
              </w:rPr>
            </w:pPr>
          </w:p>
        </w:tc>
        <w:tc>
          <w:tcPr>
            <w:tcW w:w="1663" w:type="dxa"/>
            <w:vAlign w:val="center"/>
          </w:tcPr>
          <w:p w14:paraId="65F8BE5D">
            <w:pP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祥鹏航空公司</w:t>
            </w:r>
          </w:p>
        </w:tc>
        <w:tc>
          <w:tcPr>
            <w:tcW w:w="1597" w:type="dxa"/>
            <w:vAlign w:val="center"/>
          </w:tcPr>
          <w:p w14:paraId="12ABF59E">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乘务员</w:t>
            </w:r>
          </w:p>
        </w:tc>
        <w:tc>
          <w:tcPr>
            <w:tcW w:w="1344" w:type="dxa"/>
            <w:vAlign w:val="center"/>
          </w:tcPr>
          <w:p w14:paraId="69FA5D3A">
            <w:pP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 课程教学</w:t>
            </w:r>
          </w:p>
        </w:tc>
      </w:tr>
      <w:tr w14:paraId="1777A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16C02088">
            <w:pP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  5</w:t>
            </w:r>
          </w:p>
        </w:tc>
        <w:tc>
          <w:tcPr>
            <w:tcW w:w="1211" w:type="dxa"/>
            <w:vAlign w:val="center"/>
          </w:tcPr>
          <w:p w14:paraId="63ACB867">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费俊海</w:t>
            </w:r>
          </w:p>
        </w:tc>
        <w:tc>
          <w:tcPr>
            <w:tcW w:w="1538" w:type="dxa"/>
            <w:vAlign w:val="center"/>
          </w:tcPr>
          <w:p w14:paraId="742B2DB1">
            <w:pPr>
              <w:jc w:val="center"/>
              <w:rPr>
                <w:rFonts w:hint="eastAsia" w:ascii="方正仿宋_GB2312" w:hAnsi="方正仿宋_GB2312" w:eastAsia="方正仿宋_GB2312" w:cs="方正仿宋_GB2312"/>
                <w:sz w:val="21"/>
                <w:szCs w:val="21"/>
              </w:rPr>
            </w:pPr>
          </w:p>
        </w:tc>
        <w:tc>
          <w:tcPr>
            <w:tcW w:w="1663" w:type="dxa"/>
            <w:vAlign w:val="center"/>
          </w:tcPr>
          <w:p w14:paraId="3784DD2E">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上海浦东国际机场</w:t>
            </w:r>
          </w:p>
        </w:tc>
        <w:tc>
          <w:tcPr>
            <w:tcW w:w="1597" w:type="dxa"/>
            <w:vAlign w:val="center"/>
          </w:tcPr>
          <w:p w14:paraId="7F260D8A">
            <w:pPr>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安全组长</w:t>
            </w:r>
          </w:p>
        </w:tc>
        <w:tc>
          <w:tcPr>
            <w:tcW w:w="1344" w:type="dxa"/>
            <w:vAlign w:val="center"/>
          </w:tcPr>
          <w:p w14:paraId="71E2738C">
            <w:pP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 课程教学</w:t>
            </w:r>
          </w:p>
        </w:tc>
      </w:tr>
    </w:tbl>
    <w:p w14:paraId="64E75964">
      <w:pPr>
        <w:overflowPunct w:val="0"/>
        <w:adjustRightInd w:val="0"/>
        <w:spacing w:line="500" w:lineRule="exact"/>
        <w:ind w:firstLine="643" w:firstLineChars="200"/>
        <w:rPr>
          <w:rFonts w:hint="eastAsia" w:ascii="宋体" w:hAnsi="宋体" w:eastAsia="宋体" w:cs="宋体"/>
          <w:szCs w:val="32"/>
        </w:rPr>
      </w:pPr>
      <w:r>
        <w:rPr>
          <w:rFonts w:hint="eastAsia" w:ascii="楷体" w:hAnsi="楷体" w:eastAsia="楷体" w:cs="楷体"/>
          <w:b/>
          <w:szCs w:val="32"/>
        </w:rPr>
        <w:t>（二）教学设施</w:t>
      </w:r>
    </w:p>
    <w:p w14:paraId="1A5D34FC">
      <w:pPr>
        <w:pStyle w:val="12"/>
        <w:ind w:firstLine="56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1.专业教室条件</w:t>
      </w:r>
    </w:p>
    <w:p w14:paraId="04C6715B">
      <w:pPr>
        <w:pStyle w:val="12"/>
        <w:ind w:firstLine="56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学校专业教室充足、条件优越，均配备黑（白）板、多媒体计算机、投影设备（教学一体机）、音响、互联网接入或WiFi环境，并具有网络安全防护措施。安装了应急照明装置并保持良好状态，符合紧急疏散要求、标志明显、保持逃生通道畅通无阻。</w:t>
      </w:r>
    </w:p>
    <w:p w14:paraId="4BF76050">
      <w:pPr>
        <w:pStyle w:val="12"/>
        <w:ind w:firstLine="56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2.校内实训室条件</w:t>
      </w:r>
    </w:p>
    <w:p w14:paraId="6C36B600">
      <w:pPr>
        <w:spacing w:line="520" w:lineRule="exact"/>
        <w:jc w:val="center"/>
        <w:rPr>
          <w:rFonts w:hint="eastAsia" w:ascii="宋体" w:hAnsi="宋体" w:eastAsia="宋体" w:cs="宋体"/>
          <w:b/>
          <w:bCs/>
          <w:sz w:val="24"/>
        </w:rPr>
      </w:pPr>
    </w:p>
    <w:p w14:paraId="09F10F25">
      <w:pPr>
        <w:spacing w:line="520" w:lineRule="exact"/>
        <w:jc w:val="center"/>
        <w:rPr>
          <w:rFonts w:hint="eastAsia" w:ascii="宋体" w:hAnsi="宋体" w:eastAsia="宋体" w:cs="宋体"/>
          <w:b/>
          <w:bCs/>
          <w:sz w:val="24"/>
        </w:rPr>
      </w:pPr>
    </w:p>
    <w:p w14:paraId="7FDEBCB4">
      <w:pPr>
        <w:spacing w:line="520" w:lineRule="exact"/>
        <w:jc w:val="center"/>
        <w:rPr>
          <w:rFonts w:hint="eastAsia" w:ascii="宋体" w:hAnsi="宋体" w:eastAsia="宋体" w:cs="宋体"/>
          <w:b/>
          <w:bCs/>
          <w:sz w:val="24"/>
        </w:rPr>
      </w:pPr>
      <w:r>
        <w:rPr>
          <w:rFonts w:hint="eastAsia" w:ascii="宋体" w:hAnsi="宋体" w:eastAsia="宋体" w:cs="宋体"/>
          <w:b/>
          <w:bCs/>
          <w:sz w:val="24"/>
        </w:rPr>
        <w:t>表10 校内实训室</w:t>
      </w:r>
    </w:p>
    <w:tbl>
      <w:tblPr>
        <w:tblStyle w:val="9"/>
        <w:tblW w:w="82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1153"/>
        <w:gridCol w:w="3212"/>
        <w:gridCol w:w="924"/>
        <w:gridCol w:w="1173"/>
        <w:gridCol w:w="1174"/>
      </w:tblGrid>
      <w:tr w14:paraId="18989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662" w:type="dxa"/>
            <w:vMerge w:val="restart"/>
            <w:shd w:val="clear" w:color="auto" w:fill="D8D8D8"/>
            <w:vAlign w:val="center"/>
          </w:tcPr>
          <w:p w14:paraId="1EFA436C">
            <w:pPr>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序号</w:t>
            </w:r>
          </w:p>
        </w:tc>
        <w:tc>
          <w:tcPr>
            <w:tcW w:w="1153" w:type="dxa"/>
            <w:vMerge w:val="restart"/>
            <w:shd w:val="clear" w:color="auto" w:fill="D8D8D8"/>
            <w:vAlign w:val="center"/>
          </w:tcPr>
          <w:p w14:paraId="01F94DCC">
            <w:pPr>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校内实训室名称</w:t>
            </w:r>
          </w:p>
        </w:tc>
        <w:tc>
          <w:tcPr>
            <w:tcW w:w="3212" w:type="dxa"/>
            <w:vMerge w:val="restart"/>
            <w:shd w:val="clear" w:color="auto" w:fill="D8D8D8"/>
            <w:vAlign w:val="center"/>
          </w:tcPr>
          <w:p w14:paraId="542A2A21">
            <w:pPr>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主要设备</w:t>
            </w:r>
          </w:p>
        </w:tc>
        <w:tc>
          <w:tcPr>
            <w:tcW w:w="924" w:type="dxa"/>
            <w:vMerge w:val="restart"/>
            <w:shd w:val="clear" w:color="auto" w:fill="D8D8D8"/>
            <w:vAlign w:val="center"/>
          </w:tcPr>
          <w:p w14:paraId="709F1578">
            <w:pPr>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工位数</w:t>
            </w:r>
          </w:p>
        </w:tc>
        <w:tc>
          <w:tcPr>
            <w:tcW w:w="2347" w:type="dxa"/>
            <w:gridSpan w:val="2"/>
            <w:shd w:val="clear" w:color="auto" w:fill="D8D8D8"/>
            <w:vAlign w:val="center"/>
          </w:tcPr>
          <w:p w14:paraId="22079980">
            <w:pPr>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地点</w:t>
            </w:r>
          </w:p>
        </w:tc>
      </w:tr>
      <w:tr w14:paraId="016B1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662" w:type="dxa"/>
            <w:vMerge w:val="continue"/>
            <w:shd w:val="clear" w:color="auto" w:fill="D8D8D8"/>
          </w:tcPr>
          <w:p w14:paraId="30ADF1BA">
            <w:pPr>
              <w:jc w:val="center"/>
              <w:rPr>
                <w:rFonts w:hint="eastAsia" w:ascii="宋体" w:hAnsi="宋体" w:eastAsia="宋体" w:cs="宋体"/>
                <w:sz w:val="18"/>
                <w:szCs w:val="18"/>
              </w:rPr>
            </w:pPr>
          </w:p>
        </w:tc>
        <w:tc>
          <w:tcPr>
            <w:tcW w:w="1153" w:type="dxa"/>
            <w:vMerge w:val="continue"/>
            <w:shd w:val="clear" w:color="auto" w:fill="D8D8D8"/>
          </w:tcPr>
          <w:p w14:paraId="1C1F4C8E">
            <w:pPr>
              <w:jc w:val="center"/>
              <w:rPr>
                <w:rFonts w:hint="eastAsia" w:ascii="宋体" w:hAnsi="宋体" w:eastAsia="宋体" w:cs="宋体"/>
                <w:sz w:val="18"/>
                <w:szCs w:val="18"/>
              </w:rPr>
            </w:pPr>
          </w:p>
        </w:tc>
        <w:tc>
          <w:tcPr>
            <w:tcW w:w="3212" w:type="dxa"/>
            <w:vMerge w:val="continue"/>
            <w:shd w:val="clear" w:color="auto" w:fill="D8D8D8"/>
          </w:tcPr>
          <w:p w14:paraId="77C8B135">
            <w:pPr>
              <w:jc w:val="center"/>
              <w:rPr>
                <w:rFonts w:hint="eastAsia" w:ascii="宋体" w:hAnsi="宋体" w:eastAsia="宋体" w:cs="宋体"/>
                <w:sz w:val="18"/>
                <w:szCs w:val="18"/>
              </w:rPr>
            </w:pPr>
          </w:p>
        </w:tc>
        <w:tc>
          <w:tcPr>
            <w:tcW w:w="924" w:type="dxa"/>
            <w:vMerge w:val="continue"/>
            <w:shd w:val="clear" w:color="auto" w:fill="D8D8D8"/>
          </w:tcPr>
          <w:p w14:paraId="69434559">
            <w:pPr>
              <w:jc w:val="center"/>
              <w:rPr>
                <w:rFonts w:hint="eastAsia" w:ascii="宋体" w:hAnsi="宋体" w:eastAsia="宋体" w:cs="宋体"/>
                <w:sz w:val="18"/>
                <w:szCs w:val="18"/>
              </w:rPr>
            </w:pPr>
          </w:p>
        </w:tc>
        <w:tc>
          <w:tcPr>
            <w:tcW w:w="1173" w:type="dxa"/>
            <w:shd w:val="clear" w:color="auto" w:fill="D8D8D8"/>
          </w:tcPr>
          <w:p w14:paraId="54C8545A">
            <w:pPr>
              <w:jc w:val="center"/>
              <w:rPr>
                <w:rFonts w:hint="eastAsia" w:ascii="宋体" w:hAnsi="宋体" w:eastAsia="宋体" w:cs="宋体"/>
                <w:b/>
                <w:bCs/>
                <w:sz w:val="18"/>
                <w:szCs w:val="18"/>
              </w:rPr>
            </w:pPr>
            <w:r>
              <w:rPr>
                <w:rFonts w:hint="eastAsia" w:ascii="宋体" w:hAnsi="宋体" w:eastAsia="宋体" w:cs="宋体"/>
                <w:b/>
                <w:bCs/>
                <w:sz w:val="18"/>
                <w:szCs w:val="18"/>
              </w:rPr>
              <w:t>楼栋名称</w:t>
            </w:r>
          </w:p>
        </w:tc>
        <w:tc>
          <w:tcPr>
            <w:tcW w:w="1174" w:type="dxa"/>
            <w:shd w:val="clear" w:color="auto" w:fill="D8D8D8"/>
          </w:tcPr>
          <w:p w14:paraId="2458E58D">
            <w:pPr>
              <w:jc w:val="center"/>
              <w:rPr>
                <w:rFonts w:hint="eastAsia" w:ascii="宋体" w:hAnsi="宋体" w:eastAsia="宋体" w:cs="宋体"/>
                <w:b/>
                <w:bCs/>
                <w:sz w:val="18"/>
                <w:szCs w:val="18"/>
              </w:rPr>
            </w:pPr>
            <w:r>
              <w:rPr>
                <w:rFonts w:hint="eastAsia" w:ascii="宋体" w:hAnsi="宋体" w:eastAsia="宋体" w:cs="宋体"/>
                <w:b/>
                <w:bCs/>
                <w:sz w:val="18"/>
                <w:szCs w:val="18"/>
              </w:rPr>
              <w:t>门牌号</w:t>
            </w:r>
          </w:p>
        </w:tc>
      </w:tr>
      <w:tr w14:paraId="2257A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662" w:type="dxa"/>
            <w:shd w:val="clear" w:color="auto" w:fill="FFFFFF"/>
            <w:vAlign w:val="center"/>
          </w:tcPr>
          <w:p w14:paraId="0495155F">
            <w:pPr>
              <w:jc w:val="center"/>
              <w:rPr>
                <w:rFonts w:hint="eastAsia" w:ascii="宋体" w:hAnsi="宋体" w:eastAsia="宋体" w:cs="宋体"/>
                <w:kern w:val="0"/>
                <w:sz w:val="18"/>
                <w:szCs w:val="18"/>
              </w:rPr>
            </w:pPr>
            <w:r>
              <w:rPr>
                <w:rFonts w:hint="eastAsia" w:ascii="宋体" w:hAnsi="宋体" w:eastAsia="宋体" w:cs="宋体"/>
                <w:kern w:val="0"/>
                <w:sz w:val="18"/>
                <w:szCs w:val="18"/>
              </w:rPr>
              <w:t>1</w:t>
            </w:r>
          </w:p>
        </w:tc>
        <w:tc>
          <w:tcPr>
            <w:tcW w:w="1153" w:type="dxa"/>
            <w:shd w:val="clear" w:color="auto" w:fill="FFFFFF"/>
            <w:vAlign w:val="center"/>
          </w:tcPr>
          <w:p w14:paraId="66619615">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航空仿真实训中心</w:t>
            </w:r>
          </w:p>
        </w:tc>
        <w:tc>
          <w:tcPr>
            <w:tcW w:w="3212" w:type="dxa"/>
            <w:shd w:val="clear" w:color="auto" w:fill="FFFFFF"/>
            <w:vAlign w:val="center"/>
          </w:tcPr>
          <w:p w14:paraId="48C78E49">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仿空客A330</w:t>
            </w:r>
          </w:p>
        </w:tc>
        <w:tc>
          <w:tcPr>
            <w:tcW w:w="924" w:type="dxa"/>
            <w:shd w:val="clear" w:color="auto" w:fill="FFFFFF"/>
            <w:vAlign w:val="center"/>
          </w:tcPr>
          <w:p w14:paraId="2AAA5B44">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60</w:t>
            </w:r>
          </w:p>
        </w:tc>
        <w:tc>
          <w:tcPr>
            <w:tcW w:w="1173" w:type="dxa"/>
            <w:shd w:val="clear" w:color="auto" w:fill="FFFFFF"/>
            <w:vAlign w:val="center"/>
          </w:tcPr>
          <w:p w14:paraId="647C03E3">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A楼大厅</w:t>
            </w:r>
          </w:p>
        </w:tc>
        <w:tc>
          <w:tcPr>
            <w:tcW w:w="1174" w:type="dxa"/>
            <w:shd w:val="clear" w:color="auto" w:fill="FFFFFF"/>
            <w:vAlign w:val="center"/>
          </w:tcPr>
          <w:p w14:paraId="04AE008C">
            <w:pPr>
              <w:jc w:val="center"/>
              <w:rPr>
                <w:rFonts w:hint="eastAsia" w:ascii="仿宋_GB2312" w:hAnsi="仿宋_GB2312" w:eastAsia="仿宋_GB2312" w:cs="仿宋_GB2312"/>
                <w:kern w:val="0"/>
                <w:sz w:val="21"/>
                <w:szCs w:val="21"/>
              </w:rPr>
            </w:pPr>
          </w:p>
        </w:tc>
      </w:tr>
      <w:tr w14:paraId="26F88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662" w:type="dxa"/>
            <w:shd w:val="clear" w:color="auto" w:fill="FFFFFF"/>
            <w:vAlign w:val="center"/>
          </w:tcPr>
          <w:p w14:paraId="18F8C8B8">
            <w:pPr>
              <w:jc w:val="center"/>
              <w:rPr>
                <w:rFonts w:hint="eastAsia" w:ascii="宋体" w:hAnsi="宋体" w:eastAsia="宋体" w:cs="宋体"/>
                <w:kern w:val="0"/>
                <w:sz w:val="18"/>
                <w:szCs w:val="18"/>
              </w:rPr>
            </w:pPr>
            <w:r>
              <w:rPr>
                <w:rFonts w:hint="eastAsia" w:ascii="宋体" w:hAnsi="宋体" w:eastAsia="宋体" w:cs="宋体"/>
                <w:kern w:val="0"/>
                <w:sz w:val="18"/>
                <w:szCs w:val="18"/>
              </w:rPr>
              <w:t>2</w:t>
            </w:r>
          </w:p>
        </w:tc>
        <w:tc>
          <w:tcPr>
            <w:tcW w:w="1153" w:type="dxa"/>
            <w:shd w:val="clear" w:color="auto" w:fill="FFFFFF"/>
            <w:vAlign w:val="center"/>
          </w:tcPr>
          <w:p w14:paraId="1B38F48B">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礼仪综合实训室</w:t>
            </w:r>
          </w:p>
        </w:tc>
        <w:tc>
          <w:tcPr>
            <w:tcW w:w="3212" w:type="dxa"/>
            <w:shd w:val="clear" w:color="auto" w:fill="FFFFFF"/>
            <w:vAlign w:val="center"/>
          </w:tcPr>
          <w:p w14:paraId="730A26B9">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镜子、地板、把杆等</w:t>
            </w:r>
          </w:p>
        </w:tc>
        <w:tc>
          <w:tcPr>
            <w:tcW w:w="924" w:type="dxa"/>
            <w:shd w:val="clear" w:color="auto" w:fill="FFFFFF"/>
            <w:vAlign w:val="center"/>
          </w:tcPr>
          <w:p w14:paraId="677C8A2E">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50</w:t>
            </w:r>
          </w:p>
        </w:tc>
        <w:tc>
          <w:tcPr>
            <w:tcW w:w="1173" w:type="dxa"/>
            <w:shd w:val="clear" w:color="auto" w:fill="FFFFFF"/>
            <w:vAlign w:val="center"/>
          </w:tcPr>
          <w:p w14:paraId="2FCDF408">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C楼</w:t>
            </w:r>
          </w:p>
        </w:tc>
        <w:tc>
          <w:tcPr>
            <w:tcW w:w="1174" w:type="dxa"/>
            <w:shd w:val="clear" w:color="auto" w:fill="FFFFFF"/>
            <w:vAlign w:val="center"/>
          </w:tcPr>
          <w:p w14:paraId="0B17B146">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C411/412</w:t>
            </w:r>
          </w:p>
        </w:tc>
      </w:tr>
      <w:tr w14:paraId="23035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662" w:type="dxa"/>
            <w:shd w:val="clear" w:color="auto" w:fill="FFFFFF"/>
            <w:vAlign w:val="center"/>
          </w:tcPr>
          <w:p w14:paraId="26593B13">
            <w:pPr>
              <w:jc w:val="center"/>
              <w:rPr>
                <w:rFonts w:hint="eastAsia" w:ascii="宋体" w:hAnsi="宋体" w:eastAsia="宋体" w:cs="宋体"/>
                <w:kern w:val="0"/>
                <w:sz w:val="18"/>
                <w:szCs w:val="18"/>
              </w:rPr>
            </w:pPr>
            <w:r>
              <w:rPr>
                <w:rFonts w:hint="eastAsia" w:ascii="宋体" w:hAnsi="宋体" w:eastAsia="宋体" w:cs="宋体"/>
                <w:kern w:val="0"/>
                <w:sz w:val="18"/>
                <w:szCs w:val="18"/>
              </w:rPr>
              <w:t>3</w:t>
            </w:r>
          </w:p>
        </w:tc>
        <w:tc>
          <w:tcPr>
            <w:tcW w:w="1153" w:type="dxa"/>
            <w:shd w:val="clear" w:color="auto" w:fill="FFFFFF"/>
            <w:vAlign w:val="center"/>
          </w:tcPr>
          <w:p w14:paraId="483C18C0">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形体实训室</w:t>
            </w:r>
          </w:p>
        </w:tc>
        <w:tc>
          <w:tcPr>
            <w:tcW w:w="3212" w:type="dxa"/>
            <w:shd w:val="clear" w:color="auto" w:fill="FFFFFF"/>
            <w:vAlign w:val="center"/>
          </w:tcPr>
          <w:p w14:paraId="448E5737">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镜子、地板、把杆等</w:t>
            </w:r>
          </w:p>
        </w:tc>
        <w:tc>
          <w:tcPr>
            <w:tcW w:w="924" w:type="dxa"/>
            <w:shd w:val="clear" w:color="auto" w:fill="FFFFFF"/>
            <w:vAlign w:val="center"/>
          </w:tcPr>
          <w:p w14:paraId="23B4AE2D">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50</w:t>
            </w:r>
          </w:p>
        </w:tc>
        <w:tc>
          <w:tcPr>
            <w:tcW w:w="1173" w:type="dxa"/>
            <w:shd w:val="clear" w:color="auto" w:fill="FFFFFF"/>
            <w:vAlign w:val="center"/>
          </w:tcPr>
          <w:p w14:paraId="658ABBFA">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C楼</w:t>
            </w:r>
          </w:p>
        </w:tc>
        <w:tc>
          <w:tcPr>
            <w:tcW w:w="1174" w:type="dxa"/>
            <w:shd w:val="clear" w:color="auto" w:fill="FFFFFF"/>
            <w:vAlign w:val="center"/>
          </w:tcPr>
          <w:p w14:paraId="165A588A">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C427/428</w:t>
            </w:r>
          </w:p>
        </w:tc>
      </w:tr>
    </w:tbl>
    <w:p w14:paraId="5318A144">
      <w:pPr>
        <w:pStyle w:val="12"/>
        <w:spacing w:line="500" w:lineRule="exact"/>
        <w:ind w:firstLine="562"/>
        <w:rPr>
          <w:rFonts w:hint="eastAsia" w:ascii="仿宋_GB2312" w:hAnsi="仿宋_GB2312" w:eastAsia="仿宋_GB2312" w:cs="仿宋_GB2312"/>
          <w:b/>
          <w:sz w:val="28"/>
          <w:szCs w:val="28"/>
        </w:rPr>
      </w:pPr>
    </w:p>
    <w:p w14:paraId="72EF8537">
      <w:pPr>
        <w:pStyle w:val="12"/>
        <w:spacing w:line="500" w:lineRule="exact"/>
        <w:ind w:firstLine="640"/>
        <w:rPr>
          <w:b/>
        </w:rPr>
      </w:pPr>
      <w:r>
        <w:rPr>
          <w:rFonts w:hint="eastAsia"/>
          <w:b/>
        </w:rPr>
        <w:t>3.校外实训基地条件</w:t>
      </w:r>
    </w:p>
    <w:p w14:paraId="69D6952D">
      <w:pPr>
        <w:pStyle w:val="12"/>
        <w:spacing w:line="500" w:lineRule="exact"/>
        <w:ind w:firstLine="56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具有稳定的校外实训基地。能够提供站务、VIP贵宾厅接待、安检等实训活动，实训设施齐备，实训岗位、实训指导教师确定，实训管理及实施规章制度齐全。</w:t>
      </w:r>
    </w:p>
    <w:p w14:paraId="6825C579">
      <w:pPr>
        <w:pStyle w:val="12"/>
        <w:spacing w:line="500" w:lineRule="exact"/>
        <w:ind w:firstLine="0" w:firstLineChars="0"/>
        <w:rPr>
          <w:b/>
        </w:rPr>
      </w:pPr>
      <w:r>
        <w:rPr>
          <w:rFonts w:hint="eastAsia"/>
          <w:b/>
        </w:rPr>
        <w:t xml:space="preserve">   4.学生实习基地条件</w:t>
      </w:r>
    </w:p>
    <w:p w14:paraId="0C15A2E7">
      <w:pPr>
        <w:pStyle w:val="12"/>
        <w:spacing w:line="500" w:lineRule="exact"/>
        <w:ind w:firstLine="56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具有稳定的校外实习基地。能够提供站务、票务、安检、VIP贵宾厅接待等相关实习岗位，涵盖了当前交通运输行业核心技能，可接纳一定规模的学生实习；能够配备相应数量的指导教师对学生实习进行指导和管理；有保证实习生日常工作、学习、生活的规章制度，有安全、保险保障。</w:t>
      </w:r>
    </w:p>
    <w:p w14:paraId="351739A2">
      <w:pPr>
        <w:pStyle w:val="12"/>
        <w:spacing w:line="500" w:lineRule="exact"/>
        <w:ind w:firstLine="0" w:firstLineChars="0"/>
        <w:rPr>
          <w:b/>
        </w:rPr>
      </w:pPr>
    </w:p>
    <w:p w14:paraId="570ABACA">
      <w:pPr>
        <w:spacing w:line="520" w:lineRule="exact"/>
        <w:jc w:val="center"/>
        <w:rPr>
          <w:rFonts w:hint="eastAsia" w:ascii="宋体" w:hAnsi="宋体" w:eastAsia="宋体" w:cs="宋体"/>
          <w:b/>
          <w:bCs/>
          <w:sz w:val="18"/>
          <w:szCs w:val="18"/>
        </w:rPr>
      </w:pPr>
      <w:r>
        <w:rPr>
          <w:rFonts w:hint="eastAsia" w:ascii="宋体" w:hAnsi="宋体" w:eastAsia="宋体" w:cs="宋体"/>
          <w:b/>
          <w:bCs/>
          <w:sz w:val="24"/>
        </w:rPr>
        <w:t>表11 校外实习基地</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2505"/>
        <w:gridCol w:w="2308"/>
        <w:gridCol w:w="1327"/>
        <w:gridCol w:w="1698"/>
      </w:tblGrid>
      <w:tr w14:paraId="660C1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shd w:val="clear" w:color="auto" w:fill="D7D7D7"/>
            <w:vAlign w:val="center"/>
          </w:tcPr>
          <w:p w14:paraId="51ACC766">
            <w:pPr>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序号</w:t>
            </w:r>
          </w:p>
        </w:tc>
        <w:tc>
          <w:tcPr>
            <w:tcW w:w="2505" w:type="dxa"/>
            <w:shd w:val="clear" w:color="auto" w:fill="D7D7D7"/>
            <w:vAlign w:val="center"/>
          </w:tcPr>
          <w:p w14:paraId="6C6A8319">
            <w:pPr>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校外实习实践基地名称</w:t>
            </w:r>
          </w:p>
          <w:p w14:paraId="4D343743">
            <w:pPr>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（合作企业）</w:t>
            </w:r>
          </w:p>
        </w:tc>
        <w:tc>
          <w:tcPr>
            <w:tcW w:w="2308" w:type="dxa"/>
            <w:shd w:val="clear" w:color="auto" w:fill="D7D7D7"/>
            <w:vAlign w:val="center"/>
          </w:tcPr>
          <w:p w14:paraId="6738F5CE">
            <w:pPr>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所在区域</w:t>
            </w:r>
          </w:p>
          <w:p w14:paraId="0F3AD254">
            <w:pPr>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（是否是区域联盟内）</w:t>
            </w:r>
          </w:p>
        </w:tc>
        <w:tc>
          <w:tcPr>
            <w:tcW w:w="1327" w:type="dxa"/>
            <w:shd w:val="clear" w:color="auto" w:fill="D7D7D7"/>
            <w:vAlign w:val="center"/>
          </w:tcPr>
          <w:p w14:paraId="5EA3A8F8">
            <w:pPr>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用途</w:t>
            </w:r>
          </w:p>
        </w:tc>
        <w:tc>
          <w:tcPr>
            <w:tcW w:w="1698" w:type="dxa"/>
            <w:shd w:val="clear" w:color="auto" w:fill="D7D7D7"/>
            <w:vAlign w:val="center"/>
          </w:tcPr>
          <w:p w14:paraId="479624BC">
            <w:pPr>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合作深度</w:t>
            </w:r>
          </w:p>
        </w:tc>
      </w:tr>
      <w:tr w14:paraId="2B4EE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vAlign w:val="center"/>
          </w:tcPr>
          <w:p w14:paraId="78CF4855">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1</w:t>
            </w:r>
          </w:p>
        </w:tc>
        <w:tc>
          <w:tcPr>
            <w:tcW w:w="2505" w:type="dxa"/>
            <w:vAlign w:val="center"/>
          </w:tcPr>
          <w:p w14:paraId="4316E262">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常州奔牛机场</w:t>
            </w:r>
          </w:p>
        </w:tc>
        <w:tc>
          <w:tcPr>
            <w:tcW w:w="2308" w:type="dxa"/>
            <w:vAlign w:val="center"/>
          </w:tcPr>
          <w:p w14:paraId="5FF7AD08">
            <w:pP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 xml:space="preserve">        是</w:t>
            </w:r>
          </w:p>
        </w:tc>
        <w:tc>
          <w:tcPr>
            <w:tcW w:w="1327" w:type="dxa"/>
            <w:vAlign w:val="center"/>
          </w:tcPr>
          <w:p w14:paraId="3BB5E72B">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认识实习</w:t>
            </w:r>
          </w:p>
          <w:p w14:paraId="4C723F9A">
            <w:pPr>
              <w:jc w:val="center"/>
              <w:rPr>
                <w:rFonts w:hint="eastAsia" w:ascii="仿宋_GB2312" w:hAnsi="仿宋_GB2312" w:eastAsia="仿宋_GB2312" w:cs="仿宋_GB2312"/>
                <w:kern w:val="0"/>
                <w:sz w:val="21"/>
                <w:szCs w:val="21"/>
              </w:rPr>
            </w:pPr>
            <w:r>
              <w:rPr>
                <w:rFonts w:hint="eastAsia" w:ascii="宋体" w:hAnsi="宋体" w:eastAsia="宋体" w:cs="宋体"/>
                <w:kern w:val="0"/>
                <w:sz w:val="18"/>
                <w:szCs w:val="18"/>
              </w:rPr>
              <w:t>岗位实习</w:t>
            </w:r>
          </w:p>
        </w:tc>
        <w:tc>
          <w:tcPr>
            <w:tcW w:w="1698" w:type="dxa"/>
            <w:vAlign w:val="center"/>
          </w:tcPr>
          <w:p w14:paraId="55FECEC3">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一般合作型</w:t>
            </w:r>
          </w:p>
        </w:tc>
      </w:tr>
      <w:tr w14:paraId="4CD0D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vAlign w:val="center"/>
          </w:tcPr>
          <w:p w14:paraId="0C94B4A5">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2</w:t>
            </w:r>
          </w:p>
        </w:tc>
        <w:tc>
          <w:tcPr>
            <w:tcW w:w="2505" w:type="dxa"/>
            <w:vAlign w:val="center"/>
          </w:tcPr>
          <w:p w14:paraId="3FE2E20D">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武进高铁站</w:t>
            </w:r>
          </w:p>
        </w:tc>
        <w:tc>
          <w:tcPr>
            <w:tcW w:w="2308" w:type="dxa"/>
            <w:vAlign w:val="center"/>
          </w:tcPr>
          <w:p w14:paraId="7E06EAD4">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是</w:t>
            </w:r>
          </w:p>
        </w:tc>
        <w:tc>
          <w:tcPr>
            <w:tcW w:w="1327" w:type="dxa"/>
            <w:vAlign w:val="center"/>
          </w:tcPr>
          <w:p w14:paraId="6A6BCC9C">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认识实习</w:t>
            </w:r>
          </w:p>
          <w:p w14:paraId="449577C7">
            <w:pPr>
              <w:jc w:val="center"/>
              <w:rPr>
                <w:rFonts w:hint="eastAsia" w:ascii="仿宋_GB2312" w:hAnsi="仿宋_GB2312" w:eastAsia="仿宋_GB2312" w:cs="仿宋_GB2312"/>
                <w:kern w:val="0"/>
                <w:sz w:val="21"/>
                <w:szCs w:val="21"/>
              </w:rPr>
            </w:pPr>
            <w:r>
              <w:rPr>
                <w:rFonts w:hint="eastAsia" w:ascii="宋体" w:hAnsi="宋体" w:eastAsia="宋体" w:cs="宋体"/>
                <w:kern w:val="0"/>
                <w:sz w:val="18"/>
                <w:szCs w:val="18"/>
              </w:rPr>
              <w:t>岗位实习</w:t>
            </w:r>
          </w:p>
        </w:tc>
        <w:tc>
          <w:tcPr>
            <w:tcW w:w="1698" w:type="dxa"/>
            <w:vAlign w:val="center"/>
          </w:tcPr>
          <w:p w14:paraId="3520F7D8">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一般合作型</w:t>
            </w:r>
          </w:p>
        </w:tc>
      </w:tr>
      <w:tr w14:paraId="7346C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vAlign w:val="center"/>
          </w:tcPr>
          <w:p w14:paraId="03025E31">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3</w:t>
            </w:r>
          </w:p>
        </w:tc>
        <w:tc>
          <w:tcPr>
            <w:tcW w:w="2505" w:type="dxa"/>
            <w:vAlign w:val="center"/>
          </w:tcPr>
          <w:p w14:paraId="0CE42C7C">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上海站的贵宾厅</w:t>
            </w:r>
          </w:p>
        </w:tc>
        <w:tc>
          <w:tcPr>
            <w:tcW w:w="2308" w:type="dxa"/>
            <w:vAlign w:val="center"/>
          </w:tcPr>
          <w:p w14:paraId="288B4ABF">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是</w:t>
            </w:r>
          </w:p>
        </w:tc>
        <w:tc>
          <w:tcPr>
            <w:tcW w:w="1327" w:type="dxa"/>
            <w:vAlign w:val="center"/>
          </w:tcPr>
          <w:p w14:paraId="02BF469D">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岗位实习</w:t>
            </w:r>
          </w:p>
        </w:tc>
        <w:tc>
          <w:tcPr>
            <w:tcW w:w="1698" w:type="dxa"/>
            <w:vAlign w:val="center"/>
          </w:tcPr>
          <w:p w14:paraId="7F04B954">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一般合作型</w:t>
            </w:r>
          </w:p>
        </w:tc>
      </w:tr>
      <w:tr w14:paraId="05D41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vAlign w:val="center"/>
          </w:tcPr>
          <w:p w14:paraId="7E628638">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4</w:t>
            </w:r>
          </w:p>
        </w:tc>
        <w:tc>
          <w:tcPr>
            <w:tcW w:w="2505" w:type="dxa"/>
            <w:vAlign w:val="center"/>
          </w:tcPr>
          <w:p w14:paraId="24C41BFD">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虹桥高铁站</w:t>
            </w:r>
          </w:p>
        </w:tc>
        <w:tc>
          <w:tcPr>
            <w:tcW w:w="2308" w:type="dxa"/>
            <w:vAlign w:val="center"/>
          </w:tcPr>
          <w:p w14:paraId="12728650">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是</w:t>
            </w:r>
          </w:p>
        </w:tc>
        <w:tc>
          <w:tcPr>
            <w:tcW w:w="1327" w:type="dxa"/>
            <w:vAlign w:val="center"/>
          </w:tcPr>
          <w:p w14:paraId="4E9776E4">
            <w:pPr>
              <w:rPr>
                <w:rFonts w:hint="eastAsia" w:ascii="仿宋_GB2312" w:hAnsi="仿宋_GB2312" w:eastAsia="仿宋_GB2312" w:cs="仿宋_GB2312"/>
                <w:kern w:val="0"/>
                <w:sz w:val="21"/>
                <w:szCs w:val="21"/>
              </w:rPr>
            </w:pPr>
            <w:r>
              <w:rPr>
                <w:rFonts w:hint="eastAsia" w:ascii="宋体" w:hAnsi="宋体" w:eastAsia="宋体" w:cs="宋体"/>
                <w:kern w:val="0"/>
                <w:sz w:val="18"/>
                <w:szCs w:val="18"/>
              </w:rPr>
              <w:t xml:space="preserve">  岗位实习</w:t>
            </w:r>
          </w:p>
        </w:tc>
        <w:tc>
          <w:tcPr>
            <w:tcW w:w="1698" w:type="dxa"/>
            <w:vAlign w:val="center"/>
          </w:tcPr>
          <w:p w14:paraId="23B8DBC7">
            <w:pPr>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一般合作型</w:t>
            </w:r>
          </w:p>
        </w:tc>
      </w:tr>
    </w:tbl>
    <w:p w14:paraId="349DB632">
      <w:pPr>
        <w:pStyle w:val="12"/>
        <w:spacing w:line="500" w:lineRule="exact"/>
        <w:ind w:firstLine="640"/>
      </w:pPr>
      <w:r>
        <w:rPr>
          <w:rFonts w:hint="eastAsia"/>
          <w:b/>
        </w:rPr>
        <w:t>5.支持信息化教学方面的条件</w:t>
      </w:r>
    </w:p>
    <w:p w14:paraId="21636E4A">
      <w:pPr>
        <w:pStyle w:val="12"/>
        <w:spacing w:line="500" w:lineRule="exact"/>
        <w:ind w:firstLine="56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专业建有大量课程配套信息化教学资源和实训项目案例库。专业依托智慧职教专业资源库、MOOC学院在线开放课程和职教云教学平台，为教师开展课堂教学改革提供支撑。</w:t>
      </w:r>
    </w:p>
    <w:p w14:paraId="7E8AC35A">
      <w:pPr>
        <w:pStyle w:val="12"/>
        <w:spacing w:line="520" w:lineRule="exact"/>
        <w:ind w:firstLine="0" w:firstLineChars="0"/>
        <w:outlineLvl w:val="1"/>
        <w:rPr>
          <w:rFonts w:hint="eastAsia" w:ascii="方正仿宋_GB2312" w:hAnsi="方正仿宋_GB2312" w:eastAsia="方正仿宋_GB2312" w:cs="方正仿宋_GB2312"/>
          <w:bCs/>
          <w:sz w:val="28"/>
          <w:szCs w:val="28"/>
        </w:rPr>
      </w:pPr>
    </w:p>
    <w:p w14:paraId="2C7555EC">
      <w:pPr>
        <w:numPr>
          <w:ilvl w:val="0"/>
          <w:numId w:val="6"/>
        </w:numPr>
        <w:overflowPunct w:val="0"/>
        <w:adjustRightInd w:val="0"/>
        <w:ind w:firstLine="640" w:firstLineChars="200"/>
        <w:rPr>
          <w:rFonts w:hint="eastAsia" w:ascii="宋体" w:hAnsi="宋体" w:eastAsia="宋体" w:cs="宋体"/>
          <w:szCs w:val="32"/>
        </w:rPr>
      </w:pPr>
      <w:r>
        <w:rPr>
          <w:rFonts w:hint="eastAsia" w:ascii="宋体" w:hAnsi="宋体" w:eastAsia="宋体" w:cs="宋体"/>
          <w:szCs w:val="32"/>
        </w:rPr>
        <w:t>教学资源</w:t>
      </w:r>
    </w:p>
    <w:p w14:paraId="2C6E0CE3">
      <w:pPr>
        <w:pStyle w:val="12"/>
        <w:spacing w:line="520" w:lineRule="exact"/>
        <w:ind w:firstLine="0" w:firstLineChars="0"/>
        <w:outlineLvl w:val="1"/>
        <w:rPr>
          <w:rFonts w:hint="eastAsia" w:ascii="宋体" w:hAnsi="宋体" w:eastAsia="宋体" w:cs="宋体"/>
          <w:bCs/>
          <w:sz w:val="21"/>
          <w:szCs w:val="21"/>
        </w:rPr>
      </w:pPr>
      <w:r>
        <w:rPr>
          <w:rFonts w:hint="eastAsia" w:ascii="宋体" w:hAnsi="宋体" w:eastAsia="宋体" w:cs="宋体"/>
          <w:bCs/>
          <w:sz w:val="21"/>
          <w:szCs w:val="21"/>
        </w:rPr>
        <w:t>1.教材选用情况</w:t>
      </w:r>
    </w:p>
    <w:p w14:paraId="14F12541">
      <w:pPr>
        <w:spacing w:line="520" w:lineRule="exact"/>
        <w:jc w:val="center"/>
        <w:rPr>
          <w:rFonts w:hint="eastAsia" w:ascii="宋体" w:hAnsi="宋体" w:eastAsia="宋体" w:cs="宋体"/>
          <w:b/>
          <w:bCs/>
          <w:sz w:val="21"/>
          <w:szCs w:val="21"/>
        </w:rPr>
      </w:pPr>
      <w:r>
        <w:rPr>
          <w:rFonts w:hint="eastAsia" w:ascii="宋体" w:hAnsi="宋体" w:eastAsia="宋体" w:cs="宋体"/>
          <w:b/>
          <w:bCs/>
          <w:sz w:val="21"/>
          <w:szCs w:val="21"/>
        </w:rPr>
        <w:t>表12 专业教材选用表</w:t>
      </w:r>
    </w:p>
    <w:tbl>
      <w:tblPr>
        <w:tblStyle w:val="9"/>
        <w:tblW w:w="82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5"/>
        <w:gridCol w:w="1820"/>
        <w:gridCol w:w="2021"/>
        <w:gridCol w:w="1557"/>
        <w:gridCol w:w="971"/>
        <w:gridCol w:w="1286"/>
      </w:tblGrid>
      <w:tr w14:paraId="38076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635" w:type="dxa"/>
            <w:shd w:val="clear" w:color="auto" w:fill="D7D7D7" w:themeFill="background1" w:themeFillShade="D8"/>
            <w:vAlign w:val="center"/>
          </w:tcPr>
          <w:p w14:paraId="022ED85A">
            <w:pPr>
              <w:jc w:val="center"/>
              <w:rPr>
                <w:rFonts w:hint="eastAsia"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序号</w:t>
            </w:r>
          </w:p>
        </w:tc>
        <w:tc>
          <w:tcPr>
            <w:tcW w:w="1820" w:type="dxa"/>
            <w:shd w:val="clear" w:color="auto" w:fill="D7D7D7" w:themeFill="background1" w:themeFillShade="D8"/>
            <w:vAlign w:val="center"/>
          </w:tcPr>
          <w:p w14:paraId="5A2EAED7">
            <w:pPr>
              <w:jc w:val="center"/>
              <w:rPr>
                <w:rFonts w:hint="eastAsia"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教材名称</w:t>
            </w:r>
          </w:p>
        </w:tc>
        <w:tc>
          <w:tcPr>
            <w:tcW w:w="2021" w:type="dxa"/>
            <w:shd w:val="clear" w:color="auto" w:fill="D7D7D7" w:themeFill="background1" w:themeFillShade="D8"/>
            <w:vAlign w:val="center"/>
          </w:tcPr>
          <w:p w14:paraId="4BF64626">
            <w:pPr>
              <w:jc w:val="center"/>
              <w:rPr>
                <w:rFonts w:hint="eastAsia"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教材类型</w:t>
            </w:r>
          </w:p>
        </w:tc>
        <w:tc>
          <w:tcPr>
            <w:tcW w:w="1557" w:type="dxa"/>
            <w:shd w:val="clear" w:color="auto" w:fill="D7D7D7" w:themeFill="background1" w:themeFillShade="D8"/>
            <w:vAlign w:val="center"/>
          </w:tcPr>
          <w:p w14:paraId="41EDFAB1">
            <w:pPr>
              <w:jc w:val="center"/>
              <w:rPr>
                <w:rFonts w:hint="eastAsia"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出版社</w:t>
            </w:r>
          </w:p>
        </w:tc>
        <w:tc>
          <w:tcPr>
            <w:tcW w:w="971" w:type="dxa"/>
            <w:shd w:val="clear" w:color="auto" w:fill="D7D7D7" w:themeFill="background1" w:themeFillShade="D8"/>
            <w:vAlign w:val="center"/>
          </w:tcPr>
          <w:p w14:paraId="61B73ECD">
            <w:pPr>
              <w:jc w:val="center"/>
              <w:rPr>
                <w:rFonts w:hint="eastAsia"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主编</w:t>
            </w:r>
          </w:p>
        </w:tc>
        <w:tc>
          <w:tcPr>
            <w:tcW w:w="1286" w:type="dxa"/>
            <w:shd w:val="clear" w:color="auto" w:fill="D7D7D7" w:themeFill="background1" w:themeFillShade="D8"/>
            <w:vAlign w:val="center"/>
          </w:tcPr>
          <w:p w14:paraId="4DF12AE5">
            <w:pPr>
              <w:jc w:val="center"/>
              <w:rPr>
                <w:rFonts w:hint="eastAsia"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出版日期</w:t>
            </w:r>
          </w:p>
        </w:tc>
      </w:tr>
      <w:tr w14:paraId="1CFD2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35" w:type="dxa"/>
            <w:vAlign w:val="center"/>
          </w:tcPr>
          <w:p w14:paraId="0EFA4893">
            <w:pPr>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1</w:t>
            </w:r>
          </w:p>
        </w:tc>
        <w:tc>
          <w:tcPr>
            <w:tcW w:w="1820" w:type="dxa"/>
            <w:vAlign w:val="center"/>
          </w:tcPr>
          <w:p w14:paraId="32BEE773">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sz w:val="21"/>
                <w:szCs w:val="21"/>
              </w:rPr>
              <w:t>民航概论</w:t>
            </w:r>
          </w:p>
        </w:tc>
        <w:tc>
          <w:tcPr>
            <w:tcW w:w="2021" w:type="dxa"/>
            <w:vAlign w:val="center"/>
          </w:tcPr>
          <w:p w14:paraId="60C1FB85">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高职高专规划教材</w:t>
            </w:r>
          </w:p>
        </w:tc>
        <w:tc>
          <w:tcPr>
            <w:tcW w:w="1557" w:type="dxa"/>
            <w:vAlign w:val="center"/>
          </w:tcPr>
          <w:p w14:paraId="0CDB07DE">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电子工业出版社</w:t>
            </w:r>
          </w:p>
        </w:tc>
        <w:tc>
          <w:tcPr>
            <w:tcW w:w="971" w:type="dxa"/>
            <w:vAlign w:val="center"/>
          </w:tcPr>
          <w:p w14:paraId="49C98E5D">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江群、陈卓</w:t>
            </w:r>
          </w:p>
        </w:tc>
        <w:tc>
          <w:tcPr>
            <w:tcW w:w="1286" w:type="dxa"/>
            <w:vAlign w:val="center"/>
          </w:tcPr>
          <w:p w14:paraId="546760E6">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2019.8</w:t>
            </w:r>
          </w:p>
        </w:tc>
      </w:tr>
      <w:tr w14:paraId="78882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35" w:type="dxa"/>
            <w:vAlign w:val="center"/>
          </w:tcPr>
          <w:p w14:paraId="37A4C9A4">
            <w:pPr>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2</w:t>
            </w:r>
          </w:p>
        </w:tc>
        <w:tc>
          <w:tcPr>
            <w:tcW w:w="1820" w:type="dxa"/>
            <w:vAlign w:val="center"/>
          </w:tcPr>
          <w:p w14:paraId="47D86D2C">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民航旅客运输</w:t>
            </w:r>
          </w:p>
        </w:tc>
        <w:tc>
          <w:tcPr>
            <w:tcW w:w="2021" w:type="dxa"/>
            <w:vAlign w:val="center"/>
          </w:tcPr>
          <w:p w14:paraId="54E10D98">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高职高专规划教材</w:t>
            </w:r>
          </w:p>
        </w:tc>
        <w:tc>
          <w:tcPr>
            <w:tcW w:w="1557" w:type="dxa"/>
            <w:vAlign w:val="center"/>
          </w:tcPr>
          <w:p w14:paraId="58D36D8A">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清华大学出版社</w:t>
            </w:r>
          </w:p>
        </w:tc>
        <w:tc>
          <w:tcPr>
            <w:tcW w:w="971" w:type="dxa"/>
            <w:vAlign w:val="center"/>
          </w:tcPr>
          <w:p w14:paraId="421E217F">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钟波兰</w:t>
            </w:r>
          </w:p>
        </w:tc>
        <w:tc>
          <w:tcPr>
            <w:tcW w:w="1286" w:type="dxa"/>
            <w:vAlign w:val="center"/>
          </w:tcPr>
          <w:p w14:paraId="18F7E13A">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2023.7</w:t>
            </w:r>
          </w:p>
        </w:tc>
      </w:tr>
      <w:tr w14:paraId="34442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35" w:type="dxa"/>
            <w:vAlign w:val="center"/>
          </w:tcPr>
          <w:p w14:paraId="1AD799E3">
            <w:pPr>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3</w:t>
            </w:r>
          </w:p>
        </w:tc>
        <w:tc>
          <w:tcPr>
            <w:tcW w:w="1820" w:type="dxa"/>
            <w:vAlign w:val="center"/>
          </w:tcPr>
          <w:p w14:paraId="5C374CA4">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民航法律法规</w:t>
            </w:r>
          </w:p>
        </w:tc>
        <w:tc>
          <w:tcPr>
            <w:tcW w:w="2021" w:type="dxa"/>
            <w:vAlign w:val="center"/>
          </w:tcPr>
          <w:p w14:paraId="50840BBD">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高职高专规划教材</w:t>
            </w:r>
          </w:p>
        </w:tc>
        <w:tc>
          <w:tcPr>
            <w:tcW w:w="1557" w:type="dxa"/>
            <w:vAlign w:val="center"/>
          </w:tcPr>
          <w:p w14:paraId="74C33B88">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航空工业出版社</w:t>
            </w:r>
          </w:p>
        </w:tc>
        <w:tc>
          <w:tcPr>
            <w:tcW w:w="971" w:type="dxa"/>
            <w:vAlign w:val="center"/>
          </w:tcPr>
          <w:p w14:paraId="00CFC380">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聂文俊</w:t>
            </w:r>
          </w:p>
        </w:tc>
        <w:tc>
          <w:tcPr>
            <w:tcW w:w="1286" w:type="dxa"/>
            <w:vAlign w:val="center"/>
          </w:tcPr>
          <w:p w14:paraId="3D8BB8FA">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2024.5</w:t>
            </w:r>
          </w:p>
        </w:tc>
      </w:tr>
      <w:tr w14:paraId="2B4DE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35" w:type="dxa"/>
            <w:vAlign w:val="center"/>
          </w:tcPr>
          <w:p w14:paraId="349F66A1">
            <w:pPr>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4</w:t>
            </w:r>
          </w:p>
        </w:tc>
        <w:tc>
          <w:tcPr>
            <w:tcW w:w="1820" w:type="dxa"/>
            <w:vAlign w:val="center"/>
          </w:tcPr>
          <w:p w14:paraId="6230F4B2">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民航服务礼仪</w:t>
            </w:r>
          </w:p>
        </w:tc>
        <w:tc>
          <w:tcPr>
            <w:tcW w:w="2021" w:type="dxa"/>
            <w:vAlign w:val="center"/>
          </w:tcPr>
          <w:p w14:paraId="0B283213">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高职高专规划教材</w:t>
            </w:r>
          </w:p>
        </w:tc>
        <w:tc>
          <w:tcPr>
            <w:tcW w:w="1557" w:type="dxa"/>
            <w:vAlign w:val="center"/>
          </w:tcPr>
          <w:p w14:paraId="2015BB7A">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电子工业出版社</w:t>
            </w:r>
          </w:p>
        </w:tc>
        <w:tc>
          <w:tcPr>
            <w:tcW w:w="971" w:type="dxa"/>
            <w:vAlign w:val="center"/>
          </w:tcPr>
          <w:p w14:paraId="7CC5F01D">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宋文静</w:t>
            </w:r>
          </w:p>
        </w:tc>
        <w:tc>
          <w:tcPr>
            <w:tcW w:w="1286" w:type="dxa"/>
            <w:vAlign w:val="center"/>
          </w:tcPr>
          <w:p w14:paraId="50997C99">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2019.3</w:t>
            </w:r>
          </w:p>
        </w:tc>
      </w:tr>
      <w:tr w14:paraId="76F47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35" w:type="dxa"/>
            <w:vAlign w:val="center"/>
          </w:tcPr>
          <w:p w14:paraId="65CB4FDA">
            <w:pPr>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5</w:t>
            </w:r>
          </w:p>
        </w:tc>
        <w:tc>
          <w:tcPr>
            <w:tcW w:w="1820" w:type="dxa"/>
            <w:vAlign w:val="center"/>
          </w:tcPr>
          <w:p w14:paraId="43C33856">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化妆与职业形象塑造</w:t>
            </w:r>
          </w:p>
        </w:tc>
        <w:tc>
          <w:tcPr>
            <w:tcW w:w="2021" w:type="dxa"/>
            <w:vAlign w:val="center"/>
          </w:tcPr>
          <w:p w14:paraId="3355026D">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高职高专规划教材</w:t>
            </w:r>
          </w:p>
        </w:tc>
        <w:tc>
          <w:tcPr>
            <w:tcW w:w="1557" w:type="dxa"/>
            <w:vAlign w:val="center"/>
          </w:tcPr>
          <w:p w14:paraId="5F4AD880">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航空工业出版社</w:t>
            </w:r>
          </w:p>
        </w:tc>
        <w:tc>
          <w:tcPr>
            <w:tcW w:w="971" w:type="dxa"/>
            <w:vAlign w:val="center"/>
          </w:tcPr>
          <w:p w14:paraId="55609C96">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刘慧</w:t>
            </w:r>
          </w:p>
        </w:tc>
        <w:tc>
          <w:tcPr>
            <w:tcW w:w="1286" w:type="dxa"/>
            <w:vAlign w:val="center"/>
          </w:tcPr>
          <w:p w14:paraId="76640A85">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2017.6</w:t>
            </w:r>
          </w:p>
        </w:tc>
      </w:tr>
      <w:tr w14:paraId="5BAD8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35" w:type="dxa"/>
            <w:vAlign w:val="center"/>
          </w:tcPr>
          <w:p w14:paraId="1C6AD1E5">
            <w:pPr>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6</w:t>
            </w:r>
          </w:p>
        </w:tc>
        <w:tc>
          <w:tcPr>
            <w:tcW w:w="1820" w:type="dxa"/>
            <w:vAlign w:val="center"/>
          </w:tcPr>
          <w:p w14:paraId="490300A7">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形体训练</w:t>
            </w:r>
          </w:p>
        </w:tc>
        <w:tc>
          <w:tcPr>
            <w:tcW w:w="2021" w:type="dxa"/>
            <w:vAlign w:val="center"/>
          </w:tcPr>
          <w:p w14:paraId="133CE4EE">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高职高专规划教材</w:t>
            </w:r>
          </w:p>
        </w:tc>
        <w:tc>
          <w:tcPr>
            <w:tcW w:w="1557" w:type="dxa"/>
            <w:vAlign w:val="center"/>
          </w:tcPr>
          <w:p w14:paraId="22274545">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中国民航出版社</w:t>
            </w:r>
          </w:p>
        </w:tc>
        <w:tc>
          <w:tcPr>
            <w:tcW w:w="971" w:type="dxa"/>
            <w:vAlign w:val="center"/>
          </w:tcPr>
          <w:p w14:paraId="5799347E">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李文川</w:t>
            </w:r>
          </w:p>
        </w:tc>
        <w:tc>
          <w:tcPr>
            <w:tcW w:w="1286" w:type="dxa"/>
            <w:vAlign w:val="center"/>
          </w:tcPr>
          <w:p w14:paraId="2B7FAA1B">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2016.2</w:t>
            </w:r>
          </w:p>
        </w:tc>
      </w:tr>
      <w:tr w14:paraId="4B5D4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35" w:type="dxa"/>
            <w:vAlign w:val="center"/>
          </w:tcPr>
          <w:p w14:paraId="2B84B0D6">
            <w:pPr>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7</w:t>
            </w:r>
          </w:p>
        </w:tc>
        <w:tc>
          <w:tcPr>
            <w:tcW w:w="1820" w:type="dxa"/>
            <w:vAlign w:val="center"/>
          </w:tcPr>
          <w:p w14:paraId="1C80DE0E">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航空运输地理</w:t>
            </w:r>
          </w:p>
        </w:tc>
        <w:tc>
          <w:tcPr>
            <w:tcW w:w="2021" w:type="dxa"/>
            <w:vAlign w:val="center"/>
          </w:tcPr>
          <w:p w14:paraId="16D39089">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高职高专规划教材</w:t>
            </w:r>
          </w:p>
        </w:tc>
        <w:tc>
          <w:tcPr>
            <w:tcW w:w="1557" w:type="dxa"/>
            <w:vAlign w:val="center"/>
          </w:tcPr>
          <w:p w14:paraId="4D5C9C41">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国防工业出版社</w:t>
            </w:r>
          </w:p>
        </w:tc>
        <w:tc>
          <w:tcPr>
            <w:tcW w:w="971" w:type="dxa"/>
            <w:vAlign w:val="center"/>
          </w:tcPr>
          <w:p w14:paraId="74E34433">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宁红</w:t>
            </w:r>
          </w:p>
        </w:tc>
        <w:tc>
          <w:tcPr>
            <w:tcW w:w="1286" w:type="dxa"/>
            <w:vAlign w:val="center"/>
          </w:tcPr>
          <w:p w14:paraId="4DBC4985">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2022.3</w:t>
            </w:r>
          </w:p>
        </w:tc>
      </w:tr>
      <w:tr w14:paraId="68B52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35" w:type="dxa"/>
            <w:vAlign w:val="center"/>
          </w:tcPr>
          <w:p w14:paraId="54E74EE4">
            <w:pPr>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8</w:t>
            </w:r>
          </w:p>
        </w:tc>
        <w:tc>
          <w:tcPr>
            <w:tcW w:w="1820" w:type="dxa"/>
            <w:vAlign w:val="center"/>
          </w:tcPr>
          <w:p w14:paraId="48CA7617">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民航面试技巧</w:t>
            </w:r>
          </w:p>
        </w:tc>
        <w:tc>
          <w:tcPr>
            <w:tcW w:w="2021" w:type="dxa"/>
            <w:vAlign w:val="center"/>
          </w:tcPr>
          <w:p w14:paraId="1A213476">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高职高专规划教材</w:t>
            </w:r>
          </w:p>
        </w:tc>
        <w:tc>
          <w:tcPr>
            <w:tcW w:w="1557" w:type="dxa"/>
            <w:vAlign w:val="center"/>
          </w:tcPr>
          <w:p w14:paraId="06E6601F">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航空工业出版社</w:t>
            </w:r>
          </w:p>
        </w:tc>
        <w:tc>
          <w:tcPr>
            <w:tcW w:w="971" w:type="dxa"/>
            <w:vAlign w:val="center"/>
          </w:tcPr>
          <w:p w14:paraId="4F024327">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李冰峰</w:t>
            </w:r>
          </w:p>
        </w:tc>
        <w:tc>
          <w:tcPr>
            <w:tcW w:w="1286" w:type="dxa"/>
            <w:vAlign w:val="center"/>
          </w:tcPr>
          <w:p w14:paraId="24D70A5C">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2021.6</w:t>
            </w:r>
          </w:p>
        </w:tc>
      </w:tr>
      <w:tr w14:paraId="20D48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35" w:type="dxa"/>
            <w:vAlign w:val="center"/>
          </w:tcPr>
          <w:p w14:paraId="07C28B7B">
            <w:pPr>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9</w:t>
            </w:r>
          </w:p>
        </w:tc>
        <w:tc>
          <w:tcPr>
            <w:tcW w:w="1820" w:type="dxa"/>
            <w:vAlign w:val="center"/>
          </w:tcPr>
          <w:p w14:paraId="4D6D9C4A">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民航服务心理学</w:t>
            </w:r>
          </w:p>
        </w:tc>
        <w:tc>
          <w:tcPr>
            <w:tcW w:w="2021" w:type="dxa"/>
            <w:vAlign w:val="center"/>
          </w:tcPr>
          <w:p w14:paraId="01119BFA">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高职高专规划教材</w:t>
            </w:r>
          </w:p>
        </w:tc>
        <w:tc>
          <w:tcPr>
            <w:tcW w:w="1557" w:type="dxa"/>
            <w:vAlign w:val="center"/>
          </w:tcPr>
          <w:p w14:paraId="1B99782D">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航空工业出版社</w:t>
            </w:r>
          </w:p>
        </w:tc>
        <w:tc>
          <w:tcPr>
            <w:tcW w:w="971" w:type="dxa"/>
            <w:vAlign w:val="center"/>
          </w:tcPr>
          <w:p w14:paraId="69A40C38">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贾红蕾</w:t>
            </w:r>
          </w:p>
        </w:tc>
        <w:tc>
          <w:tcPr>
            <w:tcW w:w="1286" w:type="dxa"/>
            <w:vAlign w:val="center"/>
          </w:tcPr>
          <w:p w14:paraId="5575BCB0">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2021.11</w:t>
            </w:r>
          </w:p>
        </w:tc>
      </w:tr>
      <w:tr w14:paraId="2002E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35" w:type="dxa"/>
            <w:vAlign w:val="center"/>
          </w:tcPr>
          <w:p w14:paraId="13B8597F">
            <w:pPr>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10</w:t>
            </w:r>
          </w:p>
        </w:tc>
        <w:tc>
          <w:tcPr>
            <w:tcW w:w="1820" w:type="dxa"/>
            <w:vAlign w:val="center"/>
          </w:tcPr>
          <w:p w14:paraId="224E06F3">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民航服务沟通技巧</w:t>
            </w:r>
          </w:p>
        </w:tc>
        <w:tc>
          <w:tcPr>
            <w:tcW w:w="2021" w:type="dxa"/>
            <w:vAlign w:val="center"/>
          </w:tcPr>
          <w:p w14:paraId="266D5964">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高职高专规划教材</w:t>
            </w:r>
          </w:p>
        </w:tc>
        <w:tc>
          <w:tcPr>
            <w:tcW w:w="1557" w:type="dxa"/>
            <w:vAlign w:val="center"/>
          </w:tcPr>
          <w:p w14:paraId="4C0B253F">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上海交通大学出版社</w:t>
            </w:r>
          </w:p>
        </w:tc>
        <w:tc>
          <w:tcPr>
            <w:tcW w:w="971" w:type="dxa"/>
            <w:vAlign w:val="center"/>
          </w:tcPr>
          <w:p w14:paraId="62A0CC82">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高翔</w:t>
            </w:r>
          </w:p>
        </w:tc>
        <w:tc>
          <w:tcPr>
            <w:tcW w:w="1286" w:type="dxa"/>
            <w:vAlign w:val="center"/>
          </w:tcPr>
          <w:p w14:paraId="4DD28346">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2022.8</w:t>
            </w:r>
          </w:p>
        </w:tc>
      </w:tr>
      <w:tr w14:paraId="6CE15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35" w:type="dxa"/>
            <w:vAlign w:val="center"/>
          </w:tcPr>
          <w:p w14:paraId="2B0E63A7">
            <w:pPr>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11</w:t>
            </w:r>
          </w:p>
        </w:tc>
        <w:tc>
          <w:tcPr>
            <w:tcW w:w="1820" w:type="dxa"/>
            <w:vAlign w:val="center"/>
          </w:tcPr>
          <w:p w14:paraId="6211DA34">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客舱服务英语</w:t>
            </w:r>
          </w:p>
        </w:tc>
        <w:tc>
          <w:tcPr>
            <w:tcW w:w="2021" w:type="dxa"/>
            <w:vAlign w:val="center"/>
          </w:tcPr>
          <w:p w14:paraId="61ECE33E">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高职高专规划教材</w:t>
            </w:r>
          </w:p>
        </w:tc>
        <w:tc>
          <w:tcPr>
            <w:tcW w:w="1557" w:type="dxa"/>
            <w:vAlign w:val="center"/>
          </w:tcPr>
          <w:p w14:paraId="57D6A002">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清华大学出版社</w:t>
            </w:r>
          </w:p>
        </w:tc>
        <w:tc>
          <w:tcPr>
            <w:tcW w:w="971" w:type="dxa"/>
            <w:vAlign w:val="center"/>
          </w:tcPr>
          <w:p w14:paraId="5FC54870">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范晔、邹海鸥</w:t>
            </w:r>
          </w:p>
        </w:tc>
        <w:tc>
          <w:tcPr>
            <w:tcW w:w="1286" w:type="dxa"/>
            <w:vAlign w:val="center"/>
          </w:tcPr>
          <w:p w14:paraId="2E78D71E">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2022.9</w:t>
            </w:r>
          </w:p>
        </w:tc>
      </w:tr>
      <w:tr w14:paraId="1A35D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35" w:type="dxa"/>
            <w:vAlign w:val="center"/>
          </w:tcPr>
          <w:p w14:paraId="1C1FB981">
            <w:pPr>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12</w:t>
            </w:r>
          </w:p>
        </w:tc>
        <w:tc>
          <w:tcPr>
            <w:tcW w:w="1820" w:type="dxa"/>
            <w:vAlign w:val="center"/>
          </w:tcPr>
          <w:p w14:paraId="081C4A61">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客舱安全与应急处置</w:t>
            </w:r>
          </w:p>
        </w:tc>
        <w:tc>
          <w:tcPr>
            <w:tcW w:w="2021" w:type="dxa"/>
            <w:vAlign w:val="center"/>
          </w:tcPr>
          <w:p w14:paraId="405E2DC6">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高职高专规划教材</w:t>
            </w:r>
          </w:p>
        </w:tc>
        <w:tc>
          <w:tcPr>
            <w:tcW w:w="1557" w:type="dxa"/>
            <w:vAlign w:val="center"/>
          </w:tcPr>
          <w:p w14:paraId="780EEA28">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上海交通大学出版社</w:t>
            </w:r>
          </w:p>
        </w:tc>
        <w:tc>
          <w:tcPr>
            <w:tcW w:w="971" w:type="dxa"/>
            <w:vAlign w:val="center"/>
          </w:tcPr>
          <w:p w14:paraId="6F39E994">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李伟</w:t>
            </w:r>
          </w:p>
        </w:tc>
        <w:tc>
          <w:tcPr>
            <w:tcW w:w="1286" w:type="dxa"/>
            <w:vAlign w:val="center"/>
          </w:tcPr>
          <w:p w14:paraId="1BC2C615">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2021.9</w:t>
            </w:r>
          </w:p>
        </w:tc>
      </w:tr>
      <w:tr w14:paraId="126FF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35" w:type="dxa"/>
            <w:vAlign w:val="center"/>
          </w:tcPr>
          <w:p w14:paraId="1F490446">
            <w:pPr>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13</w:t>
            </w:r>
          </w:p>
        </w:tc>
        <w:tc>
          <w:tcPr>
            <w:tcW w:w="1820" w:type="dxa"/>
            <w:vAlign w:val="center"/>
          </w:tcPr>
          <w:p w14:paraId="4F35A175">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民航客舱救护</w:t>
            </w:r>
          </w:p>
        </w:tc>
        <w:tc>
          <w:tcPr>
            <w:tcW w:w="2021" w:type="dxa"/>
            <w:vAlign w:val="center"/>
          </w:tcPr>
          <w:p w14:paraId="577FEFE7">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高职高专规划教材</w:t>
            </w:r>
          </w:p>
        </w:tc>
        <w:tc>
          <w:tcPr>
            <w:tcW w:w="1557" w:type="dxa"/>
            <w:vAlign w:val="center"/>
          </w:tcPr>
          <w:p w14:paraId="6223480F">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航空工业出版社</w:t>
            </w:r>
          </w:p>
        </w:tc>
        <w:tc>
          <w:tcPr>
            <w:tcW w:w="971" w:type="dxa"/>
            <w:vAlign w:val="center"/>
          </w:tcPr>
          <w:p w14:paraId="7E904ACD">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万雯</w:t>
            </w:r>
          </w:p>
        </w:tc>
        <w:tc>
          <w:tcPr>
            <w:tcW w:w="1286" w:type="dxa"/>
            <w:vAlign w:val="center"/>
          </w:tcPr>
          <w:p w14:paraId="00929522">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2021.12</w:t>
            </w:r>
          </w:p>
        </w:tc>
      </w:tr>
      <w:tr w14:paraId="6CA8F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35" w:type="dxa"/>
            <w:vAlign w:val="center"/>
          </w:tcPr>
          <w:p w14:paraId="6CDCFBAB">
            <w:pPr>
              <w:jc w:val="cente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14</w:t>
            </w:r>
          </w:p>
        </w:tc>
        <w:tc>
          <w:tcPr>
            <w:tcW w:w="1820" w:type="dxa"/>
            <w:vAlign w:val="center"/>
          </w:tcPr>
          <w:p w14:paraId="74AFAF5D">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民航地面管理与服务</w:t>
            </w:r>
          </w:p>
        </w:tc>
        <w:tc>
          <w:tcPr>
            <w:tcW w:w="2021" w:type="dxa"/>
            <w:vAlign w:val="center"/>
          </w:tcPr>
          <w:p w14:paraId="12E77C19">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高职高专规划教材</w:t>
            </w:r>
          </w:p>
        </w:tc>
        <w:tc>
          <w:tcPr>
            <w:tcW w:w="1557" w:type="dxa"/>
            <w:vAlign w:val="center"/>
          </w:tcPr>
          <w:p w14:paraId="5590818E">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航空工业出版社</w:t>
            </w:r>
          </w:p>
        </w:tc>
        <w:tc>
          <w:tcPr>
            <w:tcW w:w="971" w:type="dxa"/>
            <w:vAlign w:val="center"/>
          </w:tcPr>
          <w:p w14:paraId="23C70073">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刘雁琪</w:t>
            </w:r>
          </w:p>
        </w:tc>
        <w:tc>
          <w:tcPr>
            <w:tcW w:w="1286" w:type="dxa"/>
            <w:vAlign w:val="center"/>
          </w:tcPr>
          <w:p w14:paraId="246909C8">
            <w:pPr>
              <w:rPr>
                <w:rFonts w:hint="eastAsia" w:ascii="方正仿宋_GB2312" w:hAnsi="方正仿宋_GB2312" w:eastAsia="方正仿宋_GB2312" w:cs="方正仿宋_GB2312"/>
                <w:kern w:val="0"/>
                <w:sz w:val="21"/>
                <w:szCs w:val="21"/>
              </w:rPr>
            </w:pPr>
            <w:r>
              <w:rPr>
                <w:rFonts w:hint="eastAsia" w:ascii="方正仿宋_GB2312" w:hAnsi="方正仿宋_GB2312" w:eastAsia="方正仿宋_GB2312" w:cs="方正仿宋_GB2312"/>
                <w:kern w:val="0"/>
                <w:sz w:val="21"/>
                <w:szCs w:val="21"/>
              </w:rPr>
              <w:t>2022.6</w:t>
            </w:r>
          </w:p>
        </w:tc>
      </w:tr>
    </w:tbl>
    <w:p w14:paraId="28B8D135">
      <w:pPr>
        <w:pStyle w:val="12"/>
        <w:numPr>
          <w:ilvl w:val="0"/>
          <w:numId w:val="7"/>
        </w:numPr>
        <w:spacing w:line="520" w:lineRule="exact"/>
        <w:ind w:firstLine="0" w:firstLineChars="0"/>
        <w:outlineLvl w:val="1"/>
        <w:rPr>
          <w:rFonts w:hint="eastAsia" w:ascii="方正仿宋_GB2312" w:hAnsi="方正仿宋_GB2312" w:eastAsia="方正仿宋_GB2312" w:cs="方正仿宋_GB2312"/>
          <w:bCs/>
          <w:sz w:val="21"/>
          <w:szCs w:val="21"/>
        </w:rPr>
      </w:pPr>
      <w:r>
        <w:rPr>
          <w:rFonts w:hint="eastAsia" w:ascii="方正仿宋_GB2312" w:hAnsi="方正仿宋_GB2312" w:eastAsia="方正仿宋_GB2312" w:cs="方正仿宋_GB2312"/>
          <w:bCs/>
          <w:sz w:val="21"/>
          <w:szCs w:val="21"/>
        </w:rPr>
        <w:t>图书、文献配备情况</w:t>
      </w:r>
    </w:p>
    <w:p w14:paraId="553E97B9">
      <w:pPr>
        <w:pStyle w:val="12"/>
        <w:outlineLvl w:val="1"/>
        <w:rPr>
          <w:rFonts w:hint="eastAsia" w:ascii="方正仿宋_GB2312" w:hAnsi="方正仿宋_GB2312" w:eastAsia="方正仿宋_GB2312" w:cs="方正仿宋_GB2312"/>
          <w:bCs/>
          <w:sz w:val="21"/>
          <w:szCs w:val="21"/>
        </w:rPr>
      </w:pPr>
      <w:r>
        <w:rPr>
          <w:rFonts w:hint="eastAsia" w:ascii="方正仿宋_GB2312" w:hAnsi="方正仿宋_GB2312" w:eastAsia="方正仿宋_GB2312" w:cs="方正仿宋_GB2312"/>
          <w:bCs/>
          <w:sz w:val="21"/>
          <w:szCs w:val="21"/>
        </w:rPr>
        <w:t>学校图书馆的图书文献配备完全能够满足人才培养、专业建设、教科研等工作的需要，方便师生查询、借阅。</w:t>
      </w:r>
    </w:p>
    <w:p w14:paraId="5D4F7A42">
      <w:pPr>
        <w:pStyle w:val="12"/>
        <w:numPr>
          <w:ilvl w:val="0"/>
          <w:numId w:val="7"/>
        </w:numPr>
        <w:spacing w:line="520" w:lineRule="exact"/>
        <w:ind w:firstLine="0" w:firstLineChars="0"/>
        <w:outlineLvl w:val="1"/>
        <w:rPr>
          <w:rFonts w:hint="eastAsia" w:ascii="方正仿宋_GB2312" w:hAnsi="方正仿宋_GB2312" w:eastAsia="方正仿宋_GB2312" w:cs="方正仿宋_GB2312"/>
          <w:bCs/>
          <w:sz w:val="21"/>
          <w:szCs w:val="21"/>
        </w:rPr>
      </w:pPr>
      <w:r>
        <w:rPr>
          <w:rFonts w:hint="eastAsia" w:ascii="方正仿宋_GB2312" w:hAnsi="方正仿宋_GB2312" w:eastAsia="方正仿宋_GB2312" w:cs="方正仿宋_GB2312"/>
          <w:bCs/>
          <w:sz w:val="21"/>
          <w:szCs w:val="21"/>
        </w:rPr>
        <w:t>数字教学资源配置情况</w:t>
      </w:r>
    </w:p>
    <w:p w14:paraId="4D121EF3">
      <w:pPr>
        <w:pStyle w:val="12"/>
        <w:outlineLvl w:val="1"/>
        <w:rPr>
          <w:rFonts w:hint="eastAsia" w:ascii="方正仿宋_GB2312" w:hAnsi="方正仿宋_GB2312" w:eastAsia="方正仿宋_GB2312" w:cs="方正仿宋_GB2312"/>
          <w:bCs/>
          <w:sz w:val="21"/>
          <w:szCs w:val="21"/>
        </w:rPr>
      </w:pPr>
      <w:r>
        <w:rPr>
          <w:rFonts w:hint="eastAsia" w:ascii="方正仿宋_GB2312" w:hAnsi="方正仿宋_GB2312" w:eastAsia="方正仿宋_GB2312" w:cs="方正仿宋_GB2312"/>
          <w:bCs/>
          <w:sz w:val="21"/>
          <w:szCs w:val="21"/>
        </w:rPr>
        <w:t>本专业课程都建有数字化教学课件和试题库，专业课程配备了微课等资源，在教学过程采用线上教学，总体上教学资源种类丰富、形式多样、使用便捷，并动态更新，可满足教学需要。</w:t>
      </w:r>
    </w:p>
    <w:p w14:paraId="4B3A3C79">
      <w:pPr>
        <w:spacing w:line="520" w:lineRule="exact"/>
        <w:jc w:val="center"/>
        <w:rPr>
          <w:rFonts w:hint="eastAsia" w:ascii="宋体" w:hAnsi="宋体" w:eastAsia="宋体" w:cs="宋体"/>
          <w:b/>
          <w:bCs/>
          <w:sz w:val="18"/>
          <w:szCs w:val="18"/>
        </w:rPr>
      </w:pPr>
      <w:r>
        <w:rPr>
          <w:rFonts w:hint="eastAsia" w:ascii="宋体" w:hAnsi="宋体" w:eastAsia="宋体" w:cs="宋体"/>
          <w:b/>
          <w:bCs/>
          <w:sz w:val="18"/>
          <w:szCs w:val="18"/>
        </w:rPr>
        <w:t>表13 专业数字化资源选用表</w:t>
      </w:r>
    </w:p>
    <w:tbl>
      <w:tblPr>
        <w:tblStyle w:val="9"/>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875"/>
        <w:gridCol w:w="5841"/>
      </w:tblGrid>
      <w:tr w14:paraId="6C70E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643" w:type="dxa"/>
            <w:shd w:val="clear" w:color="auto" w:fill="D7D7D7" w:themeFill="background1" w:themeFillShade="D8"/>
            <w:vAlign w:val="center"/>
          </w:tcPr>
          <w:p w14:paraId="142ED2E3">
            <w:pPr>
              <w:spacing w:line="520" w:lineRule="exact"/>
              <w:jc w:val="center"/>
              <w:rPr>
                <w:rFonts w:hint="eastAsia" w:ascii="宋体" w:hAnsi="宋体" w:eastAsia="宋体" w:cs="宋体"/>
                <w:b/>
                <w:bCs/>
                <w:sz w:val="18"/>
                <w:szCs w:val="18"/>
              </w:rPr>
            </w:pPr>
            <w:r>
              <w:rPr>
                <w:rFonts w:hint="eastAsia" w:ascii="宋体" w:hAnsi="宋体" w:eastAsia="宋体" w:cs="宋体"/>
                <w:b/>
                <w:bCs/>
                <w:sz w:val="18"/>
                <w:szCs w:val="18"/>
              </w:rPr>
              <w:t>序号</w:t>
            </w:r>
          </w:p>
        </w:tc>
        <w:tc>
          <w:tcPr>
            <w:tcW w:w="1875" w:type="dxa"/>
            <w:shd w:val="clear" w:color="auto" w:fill="D7D7D7" w:themeFill="background1" w:themeFillShade="D8"/>
            <w:vAlign w:val="center"/>
          </w:tcPr>
          <w:p w14:paraId="635D1BA4">
            <w:pPr>
              <w:spacing w:line="520" w:lineRule="exact"/>
              <w:jc w:val="center"/>
              <w:rPr>
                <w:rFonts w:hint="eastAsia" w:ascii="宋体" w:hAnsi="宋体" w:eastAsia="宋体" w:cs="宋体"/>
                <w:b/>
                <w:bCs/>
                <w:sz w:val="18"/>
                <w:szCs w:val="18"/>
              </w:rPr>
            </w:pPr>
            <w:r>
              <w:rPr>
                <w:rFonts w:hint="eastAsia" w:ascii="宋体" w:hAnsi="宋体" w:eastAsia="宋体" w:cs="宋体"/>
                <w:b/>
                <w:bCs/>
                <w:sz w:val="18"/>
                <w:szCs w:val="18"/>
              </w:rPr>
              <w:t>数字化资源名称</w:t>
            </w:r>
          </w:p>
        </w:tc>
        <w:tc>
          <w:tcPr>
            <w:tcW w:w="5841" w:type="dxa"/>
            <w:shd w:val="clear" w:color="auto" w:fill="D7D7D7" w:themeFill="background1" w:themeFillShade="D8"/>
            <w:vAlign w:val="center"/>
          </w:tcPr>
          <w:p w14:paraId="05FA3FDE">
            <w:pPr>
              <w:spacing w:line="520" w:lineRule="exact"/>
              <w:jc w:val="center"/>
              <w:rPr>
                <w:rFonts w:hint="eastAsia" w:ascii="宋体" w:hAnsi="宋体" w:eastAsia="宋体" w:cs="宋体"/>
                <w:b/>
                <w:bCs/>
                <w:sz w:val="18"/>
                <w:szCs w:val="18"/>
              </w:rPr>
            </w:pPr>
            <w:r>
              <w:rPr>
                <w:rFonts w:hint="eastAsia" w:ascii="宋体" w:hAnsi="宋体" w:eastAsia="宋体" w:cs="宋体"/>
                <w:b/>
                <w:bCs/>
                <w:sz w:val="18"/>
                <w:szCs w:val="18"/>
              </w:rPr>
              <w:t>资源网址</w:t>
            </w:r>
          </w:p>
        </w:tc>
      </w:tr>
      <w:tr w14:paraId="56C4E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3" w:type="dxa"/>
          </w:tcPr>
          <w:p w14:paraId="416502DB">
            <w:pPr>
              <w:spacing w:line="520" w:lineRule="exact"/>
              <w:jc w:val="center"/>
              <w:rPr>
                <w:rFonts w:hint="eastAsia" w:ascii="宋体" w:hAnsi="宋体" w:eastAsia="宋体" w:cs="宋体"/>
                <w:sz w:val="18"/>
                <w:szCs w:val="18"/>
              </w:rPr>
            </w:pPr>
            <w:r>
              <w:rPr>
                <w:rFonts w:hint="eastAsia" w:ascii="宋体" w:hAnsi="宋体" w:eastAsia="宋体" w:cs="宋体"/>
                <w:sz w:val="18"/>
                <w:szCs w:val="18"/>
              </w:rPr>
              <w:t>1</w:t>
            </w:r>
          </w:p>
        </w:tc>
        <w:tc>
          <w:tcPr>
            <w:tcW w:w="1875" w:type="dxa"/>
          </w:tcPr>
          <w:p w14:paraId="5B2B6B17">
            <w:pPr>
              <w:spacing w:line="520" w:lineRule="exact"/>
              <w:jc w:val="center"/>
              <w:rPr>
                <w:rFonts w:hint="eastAsia" w:ascii="宋体" w:hAnsi="宋体" w:eastAsia="宋体" w:cs="宋体"/>
                <w:sz w:val="18"/>
                <w:szCs w:val="18"/>
              </w:rPr>
            </w:pPr>
            <w:r>
              <w:rPr>
                <w:rFonts w:hint="eastAsia" w:ascii="宋体" w:hAnsi="宋体" w:eastAsia="宋体" w:cs="宋体"/>
                <w:sz w:val="18"/>
                <w:szCs w:val="18"/>
              </w:rPr>
              <w:t>民航概论</w:t>
            </w:r>
          </w:p>
        </w:tc>
        <w:tc>
          <w:tcPr>
            <w:tcW w:w="5841" w:type="dxa"/>
          </w:tcPr>
          <w:p w14:paraId="2BB841E6">
            <w:pPr>
              <w:spacing w:line="520" w:lineRule="exact"/>
              <w:jc w:val="center"/>
              <w:rPr>
                <w:rFonts w:hint="eastAsia" w:ascii="宋体" w:hAnsi="宋体" w:eastAsia="宋体" w:cs="宋体"/>
                <w:sz w:val="18"/>
                <w:szCs w:val="18"/>
              </w:rPr>
            </w:pPr>
            <w:r>
              <w:fldChar w:fldCharType="begin"/>
            </w:r>
            <w:r>
              <w:instrText xml:space="preserve"> HYPERLINK "http://mooc1.chaoxing.com/course-ans/courseportal/238871667.html" </w:instrText>
            </w:r>
            <w:r>
              <w:fldChar w:fldCharType="separate"/>
            </w:r>
            <w:r>
              <w:rPr>
                <w:rStyle w:val="11"/>
                <w:rFonts w:ascii="宋体" w:hAnsi="宋体" w:eastAsia="宋体" w:cs="宋体"/>
                <w:color w:val="auto"/>
                <w:sz w:val="24"/>
              </w:rPr>
              <w:t>课程门户首页 (chaoxing.com)</w:t>
            </w:r>
            <w:r>
              <w:rPr>
                <w:rStyle w:val="11"/>
                <w:rFonts w:ascii="宋体" w:hAnsi="宋体" w:eastAsia="宋体" w:cs="宋体"/>
                <w:color w:val="auto"/>
                <w:sz w:val="24"/>
              </w:rPr>
              <w:fldChar w:fldCharType="end"/>
            </w:r>
          </w:p>
        </w:tc>
      </w:tr>
      <w:tr w14:paraId="5599D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3" w:type="dxa"/>
          </w:tcPr>
          <w:p w14:paraId="5AF7B600">
            <w:pPr>
              <w:spacing w:line="520" w:lineRule="exact"/>
              <w:jc w:val="center"/>
              <w:rPr>
                <w:rFonts w:hint="eastAsia" w:ascii="宋体" w:hAnsi="宋体" w:eastAsia="宋体" w:cs="宋体"/>
                <w:sz w:val="18"/>
                <w:szCs w:val="18"/>
              </w:rPr>
            </w:pPr>
            <w:r>
              <w:rPr>
                <w:rFonts w:hint="eastAsia" w:ascii="宋体" w:hAnsi="宋体" w:eastAsia="宋体" w:cs="宋体"/>
                <w:sz w:val="18"/>
                <w:szCs w:val="18"/>
              </w:rPr>
              <w:t>2</w:t>
            </w:r>
          </w:p>
        </w:tc>
        <w:tc>
          <w:tcPr>
            <w:tcW w:w="1875" w:type="dxa"/>
          </w:tcPr>
          <w:p w14:paraId="6C0E1103">
            <w:pPr>
              <w:spacing w:line="520" w:lineRule="exact"/>
              <w:jc w:val="center"/>
              <w:rPr>
                <w:rFonts w:hint="eastAsia" w:ascii="宋体" w:hAnsi="宋体" w:eastAsia="宋体" w:cs="宋体"/>
                <w:sz w:val="18"/>
                <w:szCs w:val="18"/>
              </w:rPr>
            </w:pPr>
            <w:r>
              <w:rPr>
                <w:rFonts w:hint="eastAsia" w:ascii="宋体" w:hAnsi="宋体" w:eastAsia="宋体" w:cs="宋体"/>
                <w:sz w:val="18"/>
                <w:szCs w:val="18"/>
              </w:rPr>
              <w:t>客舱服务英语</w:t>
            </w:r>
          </w:p>
        </w:tc>
        <w:tc>
          <w:tcPr>
            <w:tcW w:w="5841" w:type="dxa"/>
          </w:tcPr>
          <w:p w14:paraId="72AF9952">
            <w:pPr>
              <w:spacing w:line="520" w:lineRule="exact"/>
              <w:jc w:val="center"/>
              <w:rPr>
                <w:rFonts w:hint="eastAsia" w:ascii="宋体" w:hAnsi="宋体" w:eastAsia="宋体" w:cs="宋体"/>
                <w:sz w:val="18"/>
                <w:szCs w:val="18"/>
              </w:rPr>
            </w:pPr>
            <w:r>
              <w:fldChar w:fldCharType="begin"/>
            </w:r>
            <w:r>
              <w:instrText xml:space="preserve"> HYPERLINK "http://mooc1.chaoxing.com/course/236336700.html?pageId=723791&amp;wfwfid=2185&amp;websiteId=417208&amp;mhEnc=9eda86e176141722a4a6933626d3b11d&amp;publicId=844d593f03278311ee1b18054b9f8a7b342e" </w:instrText>
            </w:r>
            <w:r>
              <w:fldChar w:fldCharType="separate"/>
            </w:r>
            <w:r>
              <w:rPr>
                <w:rStyle w:val="11"/>
                <w:rFonts w:ascii="宋体" w:hAnsi="宋体" w:eastAsia="宋体" w:cs="宋体"/>
                <w:color w:val="auto"/>
                <w:sz w:val="24"/>
              </w:rPr>
              <w:t>客舱服务英语 (chaoxing.com)</w:t>
            </w:r>
            <w:r>
              <w:rPr>
                <w:rStyle w:val="11"/>
                <w:rFonts w:ascii="宋体" w:hAnsi="宋体" w:eastAsia="宋体" w:cs="宋体"/>
                <w:color w:val="auto"/>
                <w:sz w:val="24"/>
              </w:rPr>
              <w:fldChar w:fldCharType="end"/>
            </w:r>
          </w:p>
        </w:tc>
      </w:tr>
    </w:tbl>
    <w:p w14:paraId="0A770EC0">
      <w:pPr>
        <w:numPr>
          <w:ilvl w:val="0"/>
          <w:numId w:val="6"/>
        </w:numPr>
        <w:overflowPunct w:val="0"/>
        <w:adjustRightInd w:val="0"/>
        <w:ind w:firstLine="640" w:firstLineChars="200"/>
        <w:rPr>
          <w:rFonts w:hint="eastAsia" w:ascii="宋体" w:hAnsi="宋体" w:eastAsia="宋体" w:cs="宋体"/>
          <w:szCs w:val="32"/>
        </w:rPr>
      </w:pPr>
      <w:r>
        <w:rPr>
          <w:rFonts w:hint="eastAsia" w:ascii="宋体" w:hAnsi="宋体" w:eastAsia="宋体" w:cs="宋体"/>
          <w:szCs w:val="32"/>
        </w:rPr>
        <w:t>教学方法</w:t>
      </w:r>
    </w:p>
    <w:p w14:paraId="147D85DD">
      <w:pPr>
        <w:pStyle w:val="12"/>
        <w:ind w:firstLine="560"/>
        <w:outlineLvl w:val="1"/>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将OBE理念贯穿课堂教学及实训，充分发挥学生的主体作用和教师的主导作用，注重培养学生分析和解决问题能力，引导学生自觉、主动完成“工作任务”，从而实现教学目标。在教学过程中采用引导文教学法、角色扮演法、现场教学法、任务驱动法、案例教学法、项目教学法等多种形式，利用理实一体化、信息化等多种教学手段。</w:t>
      </w:r>
    </w:p>
    <w:p w14:paraId="2E8525E9">
      <w:pPr>
        <w:pStyle w:val="12"/>
        <w:ind w:firstLine="560"/>
        <w:outlineLvl w:val="1"/>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1.引导文教学法</w:t>
      </w:r>
    </w:p>
    <w:p w14:paraId="450C1F14">
      <w:pPr>
        <w:pStyle w:val="12"/>
        <w:ind w:firstLine="560"/>
        <w:outlineLvl w:val="1"/>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采用引导文教学法，让学生通过阅读引导文，明确课程学习目标，清楚地了解自身需要完成的工作任务及所需掌握的知识和技能，激发学生学习的兴趣。</w:t>
      </w:r>
    </w:p>
    <w:p w14:paraId="7D112E62">
      <w:pPr>
        <w:pStyle w:val="12"/>
        <w:ind w:firstLine="560"/>
        <w:outlineLvl w:val="1"/>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2. 角色扮演法</w:t>
      </w:r>
    </w:p>
    <w:p w14:paraId="172D69EE">
      <w:pPr>
        <w:pStyle w:val="12"/>
        <w:ind w:firstLine="560"/>
        <w:outlineLvl w:val="1"/>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让学生扮演角色，通过模拟各种工作环境和场景，使学生在演练中熟练掌握岗位操作技能和工作流程。</w:t>
      </w:r>
    </w:p>
    <w:p w14:paraId="44457A8B">
      <w:pPr>
        <w:pStyle w:val="12"/>
        <w:ind w:firstLine="560"/>
        <w:outlineLvl w:val="1"/>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3.任务驱动法</w:t>
      </w:r>
    </w:p>
    <w:p w14:paraId="387B1158">
      <w:pPr>
        <w:pStyle w:val="12"/>
        <w:ind w:firstLine="560"/>
        <w:outlineLvl w:val="1"/>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采用任务驱动法，“以任务为主线、教师为主导、学生为主体”通过设置课堂学习任务，引导学生对学习资源的积极主动应用并进行自主探索和互动协作的学习，以解决实际问题。</w:t>
      </w:r>
    </w:p>
    <w:p w14:paraId="6455378E">
      <w:pPr>
        <w:pStyle w:val="12"/>
        <w:ind w:firstLine="560"/>
        <w:outlineLvl w:val="1"/>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4.案例教学法</w:t>
      </w:r>
    </w:p>
    <w:p w14:paraId="34413394">
      <w:pPr>
        <w:pStyle w:val="12"/>
        <w:ind w:firstLine="560"/>
        <w:outlineLvl w:val="1"/>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采用案例教学法，通过列举生活和工作中的真实案例引发学生思考，引导学生主动参与课堂讨论并发表个人见解，发挥学生主观能动性，提高学生分析问题和解决问题的能力。</w:t>
      </w:r>
    </w:p>
    <w:p w14:paraId="44648B4F">
      <w:pPr>
        <w:pStyle w:val="12"/>
        <w:ind w:firstLine="560"/>
        <w:outlineLvl w:val="1"/>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5.项目教学法</w:t>
      </w:r>
    </w:p>
    <w:p w14:paraId="604127AB">
      <w:pPr>
        <w:pStyle w:val="12"/>
        <w:ind w:firstLine="560"/>
        <w:outlineLvl w:val="1"/>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Cs/>
          <w:sz w:val="28"/>
          <w:szCs w:val="28"/>
        </w:rPr>
        <w:t>“以项目为主线、教师为引导、学生为主体”将课程所需完成的具体项目交给学生自己处理，学生自主完成信息的收集、方案的设计、项目实施及最终评价,通过项目的实施了解并把握整个过程及每一个环节中的基本要求，提高学生解决问题的方法和能力。</w:t>
      </w:r>
    </w:p>
    <w:p w14:paraId="3E9BC062">
      <w:pPr>
        <w:numPr>
          <w:ilvl w:val="0"/>
          <w:numId w:val="6"/>
        </w:numPr>
        <w:overflowPunct w:val="0"/>
        <w:adjustRightInd w:val="0"/>
        <w:ind w:firstLine="640" w:firstLineChars="200"/>
        <w:rPr>
          <w:rFonts w:hint="eastAsia" w:ascii="宋体" w:hAnsi="宋体" w:eastAsia="宋体" w:cs="宋体"/>
          <w:szCs w:val="32"/>
        </w:rPr>
      </w:pPr>
      <w:r>
        <w:rPr>
          <w:rFonts w:hint="eastAsia" w:ascii="宋体" w:hAnsi="宋体" w:eastAsia="宋体" w:cs="宋体"/>
          <w:szCs w:val="32"/>
        </w:rPr>
        <w:t>学习评价</w:t>
      </w:r>
    </w:p>
    <w:p w14:paraId="783053B4">
      <w:pPr>
        <w:pStyle w:val="12"/>
        <w:ind w:firstLine="560"/>
        <w:outlineLvl w:val="1"/>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围绕本专业培养目标、培养规格、技能素养和课程性质、功能，建立与之相适应、激励与约束相结合的学习评价模式。</w:t>
      </w:r>
    </w:p>
    <w:p w14:paraId="71081401">
      <w:pPr>
        <w:pStyle w:val="12"/>
        <w:ind w:firstLine="560"/>
        <w:outlineLvl w:val="1"/>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1.坚持学生中心</w:t>
      </w:r>
    </w:p>
    <w:p w14:paraId="5DF44EB1">
      <w:pPr>
        <w:pStyle w:val="12"/>
        <w:ind w:firstLine="560"/>
        <w:outlineLvl w:val="1"/>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学习评价以落实立德树人为根本任务，注重学生正确价值观、必备品格、关键能力、劳动精神、工匠精神和创新精神的培养。</w:t>
      </w:r>
    </w:p>
    <w:p w14:paraId="007BBE89">
      <w:pPr>
        <w:pStyle w:val="12"/>
        <w:ind w:firstLine="560"/>
        <w:outlineLvl w:val="1"/>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2.坚持标准引领</w:t>
      </w:r>
    </w:p>
    <w:p w14:paraId="26494644">
      <w:pPr>
        <w:pStyle w:val="12"/>
        <w:ind w:firstLine="560"/>
        <w:outlineLvl w:val="1"/>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依据国家职业教育专业教学标准和职业技能等级标准的要求，将课程标准和行业企业等社会用人标准有机结合。</w:t>
      </w:r>
    </w:p>
    <w:p w14:paraId="641976E5">
      <w:pPr>
        <w:pStyle w:val="12"/>
        <w:ind w:firstLine="560"/>
        <w:outlineLvl w:val="1"/>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3.坚持多方评价</w:t>
      </w:r>
    </w:p>
    <w:p w14:paraId="3FF30C84">
      <w:pPr>
        <w:pStyle w:val="12"/>
        <w:ind w:firstLine="560"/>
        <w:outlineLvl w:val="1"/>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建立学院、教师、学生、校企合作企业等多方、多视角学习评价机制。学院对本专业选择相应课程进行课程教学质量、学习成绩和学习质量监测。</w:t>
      </w:r>
    </w:p>
    <w:p w14:paraId="6A33F386">
      <w:pPr>
        <w:pStyle w:val="12"/>
        <w:ind w:firstLine="560"/>
        <w:outlineLvl w:val="1"/>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4.坚持过程评价与结果评价</w:t>
      </w:r>
    </w:p>
    <w:p w14:paraId="66125822">
      <w:pPr>
        <w:pStyle w:val="12"/>
        <w:ind w:firstLine="560"/>
        <w:outlineLvl w:val="1"/>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Cs/>
          <w:sz w:val="28"/>
          <w:szCs w:val="28"/>
        </w:rPr>
        <w:t>改革评价方式，注重学生学习过程评价和学习结果评价相结合，发挥学习评价的激励和导向功能。</w:t>
      </w:r>
    </w:p>
    <w:p w14:paraId="68CC053D">
      <w:pPr>
        <w:overflowPunct w:val="0"/>
        <w:adjustRightInd w:val="0"/>
        <w:rPr>
          <w:rFonts w:hint="eastAsia" w:ascii="宋体" w:hAnsi="宋体" w:eastAsia="宋体" w:cs="宋体"/>
          <w:szCs w:val="32"/>
        </w:rPr>
      </w:pPr>
    </w:p>
    <w:p w14:paraId="75F1DCC8">
      <w:pPr>
        <w:numPr>
          <w:ilvl w:val="0"/>
          <w:numId w:val="6"/>
        </w:numPr>
        <w:overflowPunct w:val="0"/>
        <w:adjustRightInd w:val="0"/>
        <w:ind w:firstLine="640" w:firstLineChars="200"/>
        <w:rPr>
          <w:rFonts w:hint="eastAsia" w:ascii="宋体" w:hAnsi="宋体" w:eastAsia="宋体" w:cs="宋体"/>
          <w:szCs w:val="32"/>
        </w:rPr>
      </w:pPr>
      <w:r>
        <w:rPr>
          <w:rFonts w:hint="eastAsia" w:ascii="宋体" w:hAnsi="宋体" w:eastAsia="宋体" w:cs="宋体"/>
          <w:szCs w:val="32"/>
        </w:rPr>
        <w:t>质量管理</w:t>
      </w:r>
    </w:p>
    <w:p w14:paraId="5AAFECE0">
      <w:pPr>
        <w:pStyle w:val="12"/>
        <w:spacing w:line="520" w:lineRule="exact"/>
        <w:ind w:firstLine="560"/>
        <w:outlineLvl w:val="1"/>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1.学校和二级学院建立了专业建设和教学质量诊断与改进机制，健全了专业教学质量监控管理制度、完善课堂教学、教学评价，实习实训、毕业设计以及专业调研、人才培养方案更新、资源建设等方面质量标准建设，通过教学实施、过程监控、质量评价和持续改进，达成人才培养规格。</w:t>
      </w:r>
    </w:p>
    <w:p w14:paraId="2A1F2FE8">
      <w:pPr>
        <w:pStyle w:val="12"/>
        <w:spacing w:line="520" w:lineRule="exact"/>
        <w:ind w:firstLine="560"/>
        <w:outlineLvl w:val="1"/>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2.学校、二级学院不断完善了教学管理机制，加强日常教学组织运行与管理，定期组织开展了课程建设水平和教学质量诊断与改进，不断健全巡课、听课、评教、评学等制度，建立与企业联动的实践教学环节督导制度，严明教学记录，强化教学组织功能，定期开展公开课、示范课等教研活动。</w:t>
      </w:r>
    </w:p>
    <w:p w14:paraId="097DABA7">
      <w:pPr>
        <w:pStyle w:val="12"/>
        <w:spacing w:line="520" w:lineRule="exact"/>
        <w:ind w:firstLine="560"/>
        <w:outlineLvl w:val="1"/>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3.学校建立了毕业生跟踪反馈机制及社会评价机制，并对生源情况、在校生学业水平、毕业生就业情况等进行分析，定期评价人才培养质量和培养目标达成情况。</w:t>
      </w:r>
    </w:p>
    <w:p w14:paraId="352EED60">
      <w:pPr>
        <w:pStyle w:val="12"/>
        <w:spacing w:line="520" w:lineRule="exact"/>
        <w:ind w:firstLine="560"/>
        <w:outlineLvl w:val="1"/>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4.教研室充分利用评价分析结果不断改进专业教学，持续提高人才培养质量。</w:t>
      </w:r>
    </w:p>
    <w:p w14:paraId="64554F32">
      <w:pPr>
        <w:numPr>
          <w:ilvl w:val="0"/>
          <w:numId w:val="1"/>
        </w:numPr>
        <w:overflowPunct w:val="0"/>
        <w:adjustRightInd w:val="0"/>
        <w:outlineLvl w:val="0"/>
        <w:rPr>
          <w:rFonts w:hint="eastAsia" w:ascii="黑体" w:hAnsi="黑体" w:eastAsia="黑体" w:cs="黑体"/>
          <w:szCs w:val="32"/>
        </w:rPr>
      </w:pPr>
      <w:r>
        <w:rPr>
          <w:rFonts w:hint="eastAsia" w:ascii="黑体" w:hAnsi="黑体" w:eastAsia="黑体" w:cs="黑体"/>
          <w:szCs w:val="32"/>
        </w:rPr>
        <w:t>毕业要求</w:t>
      </w:r>
      <w:bookmarkEnd w:id="9"/>
    </w:p>
    <w:p w14:paraId="37CC0A68">
      <w:pPr>
        <w:overflowPunct w:val="0"/>
        <w:adjustRightInd w:val="0"/>
        <w:ind w:firstLine="420"/>
        <w:jc w:val="center"/>
        <w:outlineLvl w:val="0"/>
        <w:rPr>
          <w:rFonts w:hint="eastAsia" w:ascii="黑体" w:hAnsi="黑体" w:eastAsia="黑体" w:cs="黑体"/>
          <w:szCs w:val="32"/>
        </w:rPr>
      </w:pPr>
      <w:r>
        <w:rPr>
          <w:rFonts w:hint="eastAsia" w:ascii="宋体" w:hAnsi="宋体" w:eastAsia="宋体" w:cs="宋体"/>
          <w:b/>
          <w:bCs/>
          <w:sz w:val="24"/>
        </w:rPr>
        <w:t>表14 专业毕业要求指标</w:t>
      </w:r>
    </w:p>
    <w:tbl>
      <w:tblPr>
        <w:tblStyle w:val="9"/>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2040"/>
        <w:gridCol w:w="2386"/>
        <w:gridCol w:w="3129"/>
      </w:tblGrid>
      <w:tr w14:paraId="09EFF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961" w:type="dxa"/>
            <w:vAlign w:val="center"/>
          </w:tcPr>
          <w:p w14:paraId="29B7F812">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1</w:t>
            </w:r>
          </w:p>
        </w:tc>
        <w:tc>
          <w:tcPr>
            <w:tcW w:w="2040" w:type="dxa"/>
            <w:vAlign w:val="center"/>
          </w:tcPr>
          <w:p w14:paraId="11B49E89">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学分要求</w:t>
            </w:r>
          </w:p>
        </w:tc>
        <w:tc>
          <w:tcPr>
            <w:tcW w:w="5515" w:type="dxa"/>
            <w:gridSpan w:val="2"/>
            <w:vAlign w:val="center"/>
          </w:tcPr>
          <w:p w14:paraId="5932B8FF">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取得本专业规定的170学分。</w:t>
            </w:r>
          </w:p>
        </w:tc>
      </w:tr>
      <w:tr w14:paraId="5E185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961" w:type="dxa"/>
            <w:vAlign w:val="center"/>
          </w:tcPr>
          <w:p w14:paraId="55D2C9AE">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2</w:t>
            </w:r>
          </w:p>
        </w:tc>
        <w:tc>
          <w:tcPr>
            <w:tcW w:w="2040" w:type="dxa"/>
            <w:vAlign w:val="center"/>
          </w:tcPr>
          <w:p w14:paraId="128FEA1C">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外语要求</w:t>
            </w:r>
          </w:p>
        </w:tc>
        <w:tc>
          <w:tcPr>
            <w:tcW w:w="5515" w:type="dxa"/>
            <w:gridSpan w:val="2"/>
            <w:vAlign w:val="center"/>
          </w:tcPr>
          <w:p w14:paraId="3614FC1B">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通过江苏省高等学校英语应用能力 A/B 级考试或同等及以上英语水平考试。</w:t>
            </w:r>
          </w:p>
        </w:tc>
      </w:tr>
      <w:tr w14:paraId="16B5A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961" w:type="dxa"/>
            <w:vAlign w:val="center"/>
          </w:tcPr>
          <w:p w14:paraId="6734E85C">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3</w:t>
            </w:r>
          </w:p>
        </w:tc>
        <w:tc>
          <w:tcPr>
            <w:tcW w:w="2040" w:type="dxa"/>
            <w:vAlign w:val="center"/>
          </w:tcPr>
          <w:p w14:paraId="73C2F932">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计算机要求</w:t>
            </w:r>
          </w:p>
        </w:tc>
        <w:tc>
          <w:tcPr>
            <w:tcW w:w="5515" w:type="dxa"/>
            <w:gridSpan w:val="2"/>
            <w:vAlign w:val="center"/>
          </w:tcPr>
          <w:p w14:paraId="19DEE2F6">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全国计算机等级考试一级证书或同等级及以上计算机等级考试</w:t>
            </w:r>
          </w:p>
        </w:tc>
      </w:tr>
      <w:tr w14:paraId="63E50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961" w:type="dxa"/>
            <w:vMerge w:val="restart"/>
            <w:vAlign w:val="center"/>
          </w:tcPr>
          <w:p w14:paraId="5273719F">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4</w:t>
            </w:r>
          </w:p>
        </w:tc>
        <w:tc>
          <w:tcPr>
            <w:tcW w:w="2040" w:type="dxa"/>
            <w:vMerge w:val="restart"/>
            <w:vAlign w:val="center"/>
          </w:tcPr>
          <w:p w14:paraId="31DAD008">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证书要求</w:t>
            </w:r>
          </w:p>
        </w:tc>
        <w:tc>
          <w:tcPr>
            <w:tcW w:w="5515" w:type="dxa"/>
            <w:gridSpan w:val="2"/>
            <w:vAlign w:val="center"/>
          </w:tcPr>
          <w:p w14:paraId="326B92A2">
            <w:pPr>
              <w:pStyle w:val="12"/>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必须获得以下至少一项</w:t>
            </w:r>
          </w:p>
        </w:tc>
      </w:tr>
      <w:tr w14:paraId="42FA3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61" w:type="dxa"/>
            <w:vMerge w:val="continue"/>
            <w:vAlign w:val="center"/>
          </w:tcPr>
          <w:p w14:paraId="656ACA99">
            <w:pPr>
              <w:pStyle w:val="12"/>
              <w:rPr>
                <w:rFonts w:hint="eastAsia" w:ascii="方正仿宋_GB2312" w:hAnsi="方正仿宋_GB2312" w:eastAsia="方正仿宋_GB2312" w:cs="方正仿宋_GB2312"/>
                <w:sz w:val="21"/>
                <w:szCs w:val="21"/>
              </w:rPr>
            </w:pPr>
          </w:p>
        </w:tc>
        <w:tc>
          <w:tcPr>
            <w:tcW w:w="2040" w:type="dxa"/>
            <w:vMerge w:val="continue"/>
            <w:vAlign w:val="center"/>
          </w:tcPr>
          <w:p w14:paraId="4CEB37F5">
            <w:pPr>
              <w:pStyle w:val="12"/>
              <w:rPr>
                <w:rFonts w:hint="eastAsia" w:ascii="方正仿宋_GB2312" w:hAnsi="方正仿宋_GB2312" w:eastAsia="方正仿宋_GB2312" w:cs="方正仿宋_GB2312"/>
                <w:sz w:val="21"/>
                <w:szCs w:val="21"/>
              </w:rPr>
            </w:pPr>
          </w:p>
        </w:tc>
        <w:tc>
          <w:tcPr>
            <w:tcW w:w="2386" w:type="dxa"/>
            <w:vAlign w:val="center"/>
          </w:tcPr>
          <w:p w14:paraId="76CE8CD0">
            <w:pPr>
              <w:pStyle w:val="12"/>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名称</w:t>
            </w:r>
          </w:p>
        </w:tc>
        <w:tc>
          <w:tcPr>
            <w:tcW w:w="3129" w:type="dxa"/>
            <w:vAlign w:val="center"/>
          </w:tcPr>
          <w:p w14:paraId="6CFD0D75">
            <w:pPr>
              <w:pStyle w:val="12"/>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颁发机构</w:t>
            </w:r>
          </w:p>
        </w:tc>
      </w:tr>
      <w:tr w14:paraId="78DC3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961" w:type="dxa"/>
            <w:vMerge w:val="continue"/>
            <w:vAlign w:val="center"/>
          </w:tcPr>
          <w:p w14:paraId="1361A967">
            <w:pPr>
              <w:pStyle w:val="12"/>
              <w:rPr>
                <w:rFonts w:hint="eastAsia" w:ascii="方正仿宋_GB2312" w:hAnsi="方正仿宋_GB2312" w:eastAsia="方正仿宋_GB2312" w:cs="方正仿宋_GB2312"/>
                <w:sz w:val="21"/>
                <w:szCs w:val="21"/>
              </w:rPr>
            </w:pPr>
          </w:p>
        </w:tc>
        <w:tc>
          <w:tcPr>
            <w:tcW w:w="2040" w:type="dxa"/>
            <w:vMerge w:val="continue"/>
            <w:vAlign w:val="center"/>
          </w:tcPr>
          <w:p w14:paraId="24AC9B9A">
            <w:pPr>
              <w:pStyle w:val="12"/>
              <w:rPr>
                <w:rFonts w:hint="eastAsia" w:ascii="方正仿宋_GB2312" w:hAnsi="方正仿宋_GB2312" w:eastAsia="方正仿宋_GB2312" w:cs="方正仿宋_GB2312"/>
                <w:sz w:val="21"/>
                <w:szCs w:val="21"/>
              </w:rPr>
            </w:pPr>
          </w:p>
        </w:tc>
        <w:tc>
          <w:tcPr>
            <w:tcW w:w="2386" w:type="dxa"/>
            <w:vAlign w:val="center"/>
          </w:tcPr>
          <w:p w14:paraId="0CDA2BDB">
            <w:pPr>
              <w:snapToGrid w:val="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bCs/>
                <w:sz w:val="21"/>
                <w:szCs w:val="21"/>
              </w:rPr>
              <w:t>救护员证（初级）</w:t>
            </w:r>
          </w:p>
        </w:tc>
        <w:tc>
          <w:tcPr>
            <w:tcW w:w="3129" w:type="dxa"/>
            <w:vAlign w:val="center"/>
          </w:tcPr>
          <w:p w14:paraId="28D119EC">
            <w:pPr>
              <w:snapToGrid w:val="0"/>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bCs/>
                <w:sz w:val="21"/>
                <w:szCs w:val="21"/>
              </w:rPr>
              <w:t>常州市红十字会</w:t>
            </w:r>
          </w:p>
        </w:tc>
      </w:tr>
      <w:tr w14:paraId="18DB2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961" w:type="dxa"/>
            <w:vMerge w:val="continue"/>
            <w:vAlign w:val="center"/>
          </w:tcPr>
          <w:p w14:paraId="3239A5B4">
            <w:pPr>
              <w:pStyle w:val="12"/>
              <w:rPr>
                <w:rFonts w:hint="eastAsia" w:ascii="方正仿宋_GB2312" w:hAnsi="方正仿宋_GB2312" w:eastAsia="方正仿宋_GB2312" w:cs="方正仿宋_GB2312"/>
                <w:sz w:val="21"/>
                <w:szCs w:val="21"/>
              </w:rPr>
            </w:pPr>
          </w:p>
        </w:tc>
        <w:tc>
          <w:tcPr>
            <w:tcW w:w="2040" w:type="dxa"/>
            <w:vMerge w:val="continue"/>
            <w:vAlign w:val="center"/>
          </w:tcPr>
          <w:p w14:paraId="6896AC8D">
            <w:pPr>
              <w:pStyle w:val="12"/>
              <w:rPr>
                <w:rFonts w:hint="eastAsia" w:ascii="方正仿宋_GB2312" w:hAnsi="方正仿宋_GB2312" w:eastAsia="方正仿宋_GB2312" w:cs="方正仿宋_GB2312"/>
                <w:sz w:val="21"/>
                <w:szCs w:val="21"/>
              </w:rPr>
            </w:pPr>
          </w:p>
        </w:tc>
        <w:tc>
          <w:tcPr>
            <w:tcW w:w="2386" w:type="dxa"/>
            <w:vAlign w:val="center"/>
          </w:tcPr>
          <w:p w14:paraId="776685F8">
            <w:pPr>
              <w:pStyle w:val="12"/>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1+X空中乘务职业技能等级证书</w:t>
            </w:r>
          </w:p>
        </w:tc>
        <w:tc>
          <w:tcPr>
            <w:tcW w:w="3129" w:type="dxa"/>
            <w:vAlign w:val="center"/>
          </w:tcPr>
          <w:p w14:paraId="332E78C0">
            <w:pPr>
              <w:pStyle w:val="12"/>
              <w:jc w:val="center"/>
              <w:rPr>
                <w:rFonts w:hint="eastAsia" w:ascii="方正仿宋_GB2312" w:hAnsi="方正仿宋_GB2312" w:eastAsia="方正仿宋_GB2312" w:cs="方正仿宋_GB2312"/>
                <w:sz w:val="21"/>
                <w:szCs w:val="21"/>
              </w:rPr>
            </w:pPr>
            <w:r>
              <w:rPr>
                <w:rFonts w:hint="eastAsia" w:ascii="宋体" w:hAnsi="宋体" w:eastAsia="宋体" w:cs="宋体"/>
                <w:sz w:val="21"/>
                <w:szCs w:val="21"/>
              </w:rPr>
              <w:t>无</w:t>
            </w:r>
            <w:r>
              <w:rPr>
                <w:rFonts w:hint="eastAsia" w:ascii="___WRD_EMBED_SUB_47" w:hAnsi="___WRD_EMBED_SUB_47" w:eastAsia="___WRD_EMBED_SUB_47" w:cs="___WRD_EMBED_SUB_47"/>
                <w:sz w:val="21"/>
                <w:szCs w:val="21"/>
              </w:rPr>
              <w:t>国界航空发展有限公司</w:t>
            </w:r>
          </w:p>
        </w:tc>
      </w:tr>
      <w:tr w14:paraId="7DAB9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1" w:type="dxa"/>
            <w:vMerge w:val="continue"/>
            <w:vAlign w:val="center"/>
          </w:tcPr>
          <w:p w14:paraId="2AB74723">
            <w:pPr>
              <w:pStyle w:val="12"/>
              <w:rPr>
                <w:rFonts w:hint="eastAsia" w:ascii="方正仿宋_GB2312" w:hAnsi="方正仿宋_GB2312" w:eastAsia="方正仿宋_GB2312" w:cs="方正仿宋_GB2312"/>
                <w:sz w:val="21"/>
                <w:szCs w:val="21"/>
              </w:rPr>
            </w:pPr>
          </w:p>
        </w:tc>
        <w:tc>
          <w:tcPr>
            <w:tcW w:w="2040" w:type="dxa"/>
            <w:vMerge w:val="continue"/>
            <w:vAlign w:val="center"/>
          </w:tcPr>
          <w:p w14:paraId="5430C715">
            <w:pPr>
              <w:pStyle w:val="12"/>
              <w:rPr>
                <w:rFonts w:hint="eastAsia" w:ascii="方正仿宋_GB2312" w:hAnsi="方正仿宋_GB2312" w:eastAsia="方正仿宋_GB2312" w:cs="方正仿宋_GB2312"/>
                <w:sz w:val="21"/>
                <w:szCs w:val="21"/>
              </w:rPr>
            </w:pPr>
          </w:p>
        </w:tc>
        <w:tc>
          <w:tcPr>
            <w:tcW w:w="2386" w:type="dxa"/>
            <w:vAlign w:val="center"/>
          </w:tcPr>
          <w:p w14:paraId="6E524166">
            <w:pPr>
              <w:pStyle w:val="12"/>
              <w:jc w:val="center"/>
              <w:rPr>
                <w:rFonts w:hint="eastAsia" w:ascii="方正仿宋_GB2312" w:hAnsi="方正仿宋_GB2312" w:eastAsia="方正仿宋_GB2312" w:cs="方正仿宋_GB2312"/>
                <w:sz w:val="21"/>
                <w:szCs w:val="21"/>
              </w:rPr>
            </w:pPr>
            <w:r>
              <w:rPr>
                <w:rFonts w:hint="eastAsia" w:ascii="宋体" w:hAnsi="宋体" w:eastAsia="宋体" w:cs="宋体"/>
                <w:sz w:val="21"/>
                <w:szCs w:val="21"/>
              </w:rPr>
              <w:t>茶</w:t>
            </w:r>
            <w:r>
              <w:rPr>
                <w:rFonts w:hint="eastAsia" w:ascii="___WRD_EMBED_SUB_47" w:hAnsi="___WRD_EMBED_SUB_47" w:eastAsia="___WRD_EMBED_SUB_47" w:cs="___WRD_EMBED_SUB_47"/>
                <w:sz w:val="21"/>
                <w:szCs w:val="21"/>
              </w:rPr>
              <w:t>艺师</w:t>
            </w:r>
          </w:p>
        </w:tc>
        <w:tc>
          <w:tcPr>
            <w:tcW w:w="3129" w:type="dxa"/>
            <w:vAlign w:val="center"/>
          </w:tcPr>
          <w:p w14:paraId="64A3DEEA">
            <w:pPr>
              <w:pStyle w:val="12"/>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江苏省常州技师学院</w:t>
            </w:r>
          </w:p>
        </w:tc>
      </w:tr>
      <w:tr w14:paraId="0DA8D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961" w:type="dxa"/>
            <w:vMerge w:val="continue"/>
            <w:vAlign w:val="center"/>
          </w:tcPr>
          <w:p w14:paraId="39CF6748">
            <w:pPr>
              <w:pStyle w:val="12"/>
              <w:rPr>
                <w:rFonts w:hint="eastAsia" w:ascii="方正仿宋_GB2312" w:hAnsi="方正仿宋_GB2312" w:eastAsia="方正仿宋_GB2312" w:cs="方正仿宋_GB2312"/>
                <w:sz w:val="21"/>
                <w:szCs w:val="21"/>
              </w:rPr>
            </w:pPr>
          </w:p>
        </w:tc>
        <w:tc>
          <w:tcPr>
            <w:tcW w:w="2040" w:type="dxa"/>
            <w:vMerge w:val="continue"/>
            <w:vAlign w:val="center"/>
          </w:tcPr>
          <w:p w14:paraId="64BA00E8">
            <w:pPr>
              <w:pStyle w:val="12"/>
              <w:rPr>
                <w:rFonts w:hint="eastAsia" w:ascii="方正仿宋_GB2312" w:hAnsi="方正仿宋_GB2312" w:eastAsia="方正仿宋_GB2312" w:cs="方正仿宋_GB2312"/>
                <w:sz w:val="21"/>
                <w:szCs w:val="21"/>
              </w:rPr>
            </w:pPr>
          </w:p>
        </w:tc>
        <w:tc>
          <w:tcPr>
            <w:tcW w:w="2386" w:type="dxa"/>
            <w:vAlign w:val="center"/>
          </w:tcPr>
          <w:p w14:paraId="4EC1B69F">
            <w:pPr>
              <w:pStyle w:val="12"/>
              <w:jc w:val="center"/>
              <w:rPr>
                <w:rFonts w:hint="eastAsia" w:ascii="方正仿宋_GB2312" w:hAnsi="方正仿宋_GB2312" w:eastAsia="方正仿宋_GB2312" w:cs="方正仿宋_GB2312"/>
                <w:sz w:val="21"/>
                <w:szCs w:val="21"/>
              </w:rPr>
            </w:pPr>
            <w:r>
              <w:rPr>
                <w:rFonts w:hint="eastAsia" w:ascii="宋体" w:hAnsi="宋体" w:eastAsia="宋体" w:cs="宋体"/>
                <w:sz w:val="21"/>
                <w:szCs w:val="21"/>
              </w:rPr>
              <w:t>咖啡</w:t>
            </w:r>
            <w:r>
              <w:rPr>
                <w:rFonts w:hint="eastAsia" w:ascii="___WRD_EMBED_SUB_47" w:hAnsi="___WRD_EMBED_SUB_47" w:eastAsia="___WRD_EMBED_SUB_47" w:cs="___WRD_EMBED_SUB_47"/>
                <w:sz w:val="21"/>
                <w:szCs w:val="21"/>
              </w:rPr>
              <w:t>师</w:t>
            </w:r>
          </w:p>
        </w:tc>
        <w:tc>
          <w:tcPr>
            <w:tcW w:w="3129" w:type="dxa"/>
            <w:vAlign w:val="center"/>
          </w:tcPr>
          <w:p w14:paraId="7887D2A4">
            <w:pPr>
              <w:pStyle w:val="12"/>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常州工业职业技术学院</w:t>
            </w:r>
          </w:p>
        </w:tc>
      </w:tr>
      <w:tr w14:paraId="3ED11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961" w:type="dxa"/>
            <w:vAlign w:val="center"/>
          </w:tcPr>
          <w:p w14:paraId="2184FC83">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4</w:t>
            </w:r>
          </w:p>
        </w:tc>
        <w:tc>
          <w:tcPr>
            <w:tcW w:w="2040" w:type="dxa"/>
            <w:vAlign w:val="center"/>
          </w:tcPr>
          <w:p w14:paraId="05D7F8AC">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体育要求</w:t>
            </w:r>
          </w:p>
        </w:tc>
        <w:tc>
          <w:tcPr>
            <w:tcW w:w="5515" w:type="dxa"/>
            <w:gridSpan w:val="2"/>
            <w:vAlign w:val="center"/>
          </w:tcPr>
          <w:p w14:paraId="496B921C">
            <w:pPr>
              <w:pStyle w:val="12"/>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取得国家学生体质健康标准等级证书。</w:t>
            </w:r>
          </w:p>
        </w:tc>
      </w:tr>
    </w:tbl>
    <w:p w14:paraId="772398CD">
      <w:pPr>
        <w:overflowPunct w:val="0"/>
        <w:adjustRightInd w:val="0"/>
        <w:outlineLvl w:val="0"/>
        <w:rPr>
          <w:rFonts w:hint="eastAsia" w:ascii="黑体" w:hAnsi="黑体" w:eastAsia="黑体" w:cs="黑体"/>
          <w:szCs w:val="32"/>
        </w:rPr>
      </w:pPr>
    </w:p>
    <w:p w14:paraId="2BA9E5D0">
      <w:pPr>
        <w:numPr>
          <w:ilvl w:val="0"/>
          <w:numId w:val="1"/>
        </w:numPr>
        <w:overflowPunct w:val="0"/>
        <w:adjustRightInd w:val="0"/>
        <w:outlineLvl w:val="0"/>
        <w:rPr>
          <w:rFonts w:hint="eastAsia" w:ascii="黑体" w:hAnsi="黑体" w:eastAsia="黑体" w:cs="黑体"/>
          <w:szCs w:val="32"/>
        </w:rPr>
      </w:pPr>
      <w:bookmarkStart w:id="10" w:name="_Toc14028"/>
      <w:r>
        <w:rPr>
          <w:rFonts w:hint="eastAsia" w:ascii="黑体" w:hAnsi="黑体" w:eastAsia="黑体" w:cs="黑体"/>
          <w:szCs w:val="32"/>
        </w:rPr>
        <w:t>附录</w:t>
      </w:r>
      <w:bookmarkEnd w:id="10"/>
    </w:p>
    <w:p w14:paraId="2FE2216C">
      <w:pPr>
        <w:overflowPunct w:val="0"/>
        <w:adjustRightInd w:val="0"/>
        <w:ind w:left="420"/>
        <w:rPr>
          <w:rFonts w:hint="eastAsia" w:ascii="仿宋" w:hAnsi="仿宋" w:eastAsia="仿宋" w:cs="仿宋"/>
          <w:szCs w:val="32"/>
        </w:rPr>
      </w:pPr>
      <w:r>
        <w:rPr>
          <w:rFonts w:hint="eastAsia" w:ascii="仿宋" w:hAnsi="仿宋" w:eastAsia="仿宋" w:cs="仿宋"/>
          <w:szCs w:val="32"/>
        </w:rPr>
        <w:t>附录1.教学进程表（专业教学计划）</w:t>
      </w:r>
    </w:p>
    <w:p w14:paraId="1129034E">
      <w:pPr>
        <w:overflowPunct w:val="0"/>
        <w:adjustRightInd w:val="0"/>
        <w:ind w:left="420"/>
        <w:rPr>
          <w:rFonts w:hint="eastAsia" w:ascii="仿宋" w:hAnsi="仿宋" w:eastAsia="仿宋" w:cs="仿宋"/>
          <w:szCs w:val="32"/>
        </w:rPr>
      </w:pPr>
    </w:p>
    <w:sectPr>
      <w:type w:val="continuous"/>
      <w:pgSz w:w="11906" w:h="16838"/>
      <w:pgMar w:top="1440" w:right="1803" w:bottom="1440" w:left="1803" w:header="851" w:footer="992" w:gutter="0"/>
      <w:cols w:space="0" w:num="1"/>
      <w:docGrid w:type="lines" w:linePitch="43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8E71CD8-6215-44F2-AE41-5D610EB2795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embedRegular r:id="rId2" w:fontKey="{712998EF-3221-4C84-B30B-74ADEBA30C36}"/>
  </w:font>
  <w:font w:name="华文细黑">
    <w:panose1 w:val="02010600040101010101"/>
    <w:charset w:val="86"/>
    <w:family w:val="auto"/>
    <w:pitch w:val="default"/>
    <w:sig w:usb0="00000287" w:usb1="080F0000" w:usb2="00000000" w:usb3="00000000" w:csb0="0004009F" w:csb1="DFD70000"/>
    <w:embedRegular r:id="rId3" w:fontKey="{4B746115-B629-4757-918E-20A5AFB2A564}"/>
  </w:font>
  <w:font w:name="方正仿宋_GB2312">
    <w:panose1 w:val="02000000000000000000"/>
    <w:charset w:val="86"/>
    <w:family w:val="auto"/>
    <w:pitch w:val="default"/>
    <w:sig w:usb0="A00002BF" w:usb1="184F6CFA" w:usb2="00000012" w:usb3="00000000" w:csb0="00040001" w:csb1="00000000"/>
    <w:embedRegular r:id="rId4" w:fontKey="{E26DD1B4-B97D-41F7-88D4-0CAE91A19F4F}"/>
  </w:font>
  <w:font w:name="楷体">
    <w:panose1 w:val="02010609060101010101"/>
    <w:charset w:val="86"/>
    <w:family w:val="modern"/>
    <w:pitch w:val="default"/>
    <w:sig w:usb0="800002BF" w:usb1="38CF7CFA" w:usb2="00000016" w:usb3="00000000" w:csb0="00040001" w:csb1="00000000"/>
    <w:embedRegular r:id="rId5" w:fontKey="{79BD3312-EEE4-44F7-B884-C3C90A5E03A1}"/>
  </w:font>
  <w:font w:name="仿宋_GB2312">
    <w:altName w:val="仿宋"/>
    <w:panose1 w:val="00000000000000000000"/>
    <w:charset w:val="86"/>
    <w:family w:val="auto"/>
    <w:pitch w:val="default"/>
    <w:sig w:usb0="00000000" w:usb1="00000000" w:usb2="00000000" w:usb3="00000000" w:csb0="00040000" w:csb1="00000000"/>
    <w:embedRegular r:id="rId6" w:fontKey="{A0CA665C-561E-4C9D-B727-8E192E5906DB}"/>
  </w:font>
  <w:font w:name="仿宋">
    <w:panose1 w:val="02010609060101010101"/>
    <w:charset w:val="86"/>
    <w:family w:val="modern"/>
    <w:pitch w:val="default"/>
    <w:sig w:usb0="800002BF" w:usb1="38CF7CFA" w:usb2="00000016" w:usb3="00000000" w:csb0="00040001" w:csb1="00000000"/>
    <w:embedRegular r:id="rId7" w:fontKey="{55A2492E-522B-4CD6-A46D-F108F58D7102}"/>
  </w:font>
  <w:font w:name="___WRD_EMBED_SUB_47">
    <w:panose1 w:val="02010600030101010101"/>
    <w:charset w:val="86"/>
    <w:family w:val="auto"/>
    <w:pitch w:val="default"/>
    <w:sig w:usb0="00000003" w:usb1="288F0000" w:usb2="00000006" w:usb3="00000000" w:csb0="00040001" w:csb1="00000000"/>
    <w:embedRegular r:id="rId8" w:fontKey="{ACBCC895-B55C-4A08-A39D-5A9D1E8E7BE1}"/>
  </w:font>
  <w:font w:name="WPSEMBED1">
    <w:panose1 w:val="02010600030101010101"/>
    <w:charset w:val="86"/>
    <w:family w:val="auto"/>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18B9C7"/>
    <w:multiLevelType w:val="singleLevel"/>
    <w:tmpl w:val="AD18B9C7"/>
    <w:lvl w:ilvl="0" w:tentative="0">
      <w:start w:val="1"/>
      <w:numFmt w:val="chineseCounting"/>
      <w:suff w:val="nothing"/>
      <w:lvlText w:val="（%1）"/>
      <w:lvlJc w:val="left"/>
      <w:rPr>
        <w:rFonts w:hint="eastAsia"/>
      </w:rPr>
    </w:lvl>
  </w:abstractNum>
  <w:abstractNum w:abstractNumId="1">
    <w:nsid w:val="C8F10D85"/>
    <w:multiLevelType w:val="singleLevel"/>
    <w:tmpl w:val="C8F10D85"/>
    <w:lvl w:ilvl="0" w:tentative="0">
      <w:start w:val="1"/>
      <w:numFmt w:val="chineseCounting"/>
      <w:suff w:val="nothing"/>
      <w:lvlText w:val="（%1）"/>
      <w:lvlJc w:val="left"/>
      <w:rPr>
        <w:rFonts w:hint="eastAsia"/>
      </w:rPr>
    </w:lvl>
  </w:abstractNum>
  <w:abstractNum w:abstractNumId="2">
    <w:nsid w:val="0AE71F64"/>
    <w:multiLevelType w:val="singleLevel"/>
    <w:tmpl w:val="0AE71F64"/>
    <w:lvl w:ilvl="0" w:tentative="0">
      <w:start w:val="1"/>
      <w:numFmt w:val="decimal"/>
      <w:lvlText w:val="%1."/>
      <w:lvlJc w:val="left"/>
      <w:pPr>
        <w:tabs>
          <w:tab w:val="left" w:pos="312"/>
        </w:tabs>
      </w:pPr>
    </w:lvl>
  </w:abstractNum>
  <w:abstractNum w:abstractNumId="3">
    <w:nsid w:val="23C3A619"/>
    <w:multiLevelType w:val="singleLevel"/>
    <w:tmpl w:val="23C3A619"/>
    <w:lvl w:ilvl="0" w:tentative="0">
      <w:start w:val="1"/>
      <w:numFmt w:val="chineseCounting"/>
      <w:suff w:val="nothing"/>
      <w:lvlText w:val="（%1）"/>
      <w:lvlJc w:val="left"/>
      <w:pPr>
        <w:ind w:left="0" w:firstLine="420"/>
      </w:pPr>
      <w:rPr>
        <w:rFonts w:hint="eastAsia"/>
      </w:rPr>
    </w:lvl>
  </w:abstractNum>
  <w:abstractNum w:abstractNumId="4">
    <w:nsid w:val="6858CC71"/>
    <w:multiLevelType w:val="singleLevel"/>
    <w:tmpl w:val="6858CC71"/>
    <w:lvl w:ilvl="0" w:tentative="0">
      <w:start w:val="1"/>
      <w:numFmt w:val="chineseCounting"/>
      <w:suff w:val="nothing"/>
      <w:lvlText w:val="%1、"/>
      <w:lvlJc w:val="left"/>
      <w:pPr>
        <w:ind w:left="0" w:firstLine="420"/>
      </w:pPr>
      <w:rPr>
        <w:rFonts w:hint="eastAsia"/>
      </w:rPr>
    </w:lvl>
  </w:abstractNum>
  <w:abstractNum w:abstractNumId="5">
    <w:nsid w:val="6BED4642"/>
    <w:multiLevelType w:val="singleLevel"/>
    <w:tmpl w:val="6BED4642"/>
    <w:lvl w:ilvl="0" w:tentative="0">
      <w:start w:val="1"/>
      <w:numFmt w:val="decimal"/>
      <w:lvlText w:val="%1."/>
      <w:lvlJc w:val="left"/>
      <w:pPr>
        <w:ind w:left="425" w:hanging="425"/>
      </w:pPr>
      <w:rPr>
        <w:rFonts w:hint="default"/>
      </w:rPr>
    </w:lvl>
  </w:abstractNum>
  <w:abstractNum w:abstractNumId="6">
    <w:nsid w:val="6DDF7B22"/>
    <w:multiLevelType w:val="singleLevel"/>
    <w:tmpl w:val="6DDF7B22"/>
    <w:lvl w:ilvl="0" w:tentative="0">
      <w:start w:val="2"/>
      <w:numFmt w:val="chineseCounting"/>
      <w:suff w:val="nothing"/>
      <w:lvlText w:val="（%1）"/>
      <w:lvlJc w:val="left"/>
      <w:rPr>
        <w:rFonts w:hint="eastAsia"/>
      </w:rPr>
    </w:lvl>
  </w:abstractNum>
  <w:num w:numId="1">
    <w:abstractNumId w:val="4"/>
  </w:num>
  <w:num w:numId="2">
    <w:abstractNumId w:val="3"/>
  </w:num>
  <w:num w:numId="3">
    <w:abstractNumId w:val="5"/>
  </w:num>
  <w:num w:numId="4">
    <w:abstractNumId w:val="6"/>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TrueTypeFonts/>
  <w:saveSubsetFonts/>
  <w:bordersDoNotSurroundHeader w:val="1"/>
  <w:bordersDoNotSurroundFooter w:val="1"/>
  <w:documentProtection w:enforcement="0"/>
  <w:defaultTabStop w:val="420"/>
  <w:drawingGridVerticalSpacing w:val="218"/>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I4YzU5ZDc5YjUwY2M3MGY0ZTE5YWMzOWJmMGYwMTMifQ=="/>
  </w:docVars>
  <w:rsids>
    <w:rsidRoot w:val="4683044A"/>
    <w:rsid w:val="000A25D0"/>
    <w:rsid w:val="000B354F"/>
    <w:rsid w:val="00122FEA"/>
    <w:rsid w:val="00155237"/>
    <w:rsid w:val="00210103"/>
    <w:rsid w:val="00251D58"/>
    <w:rsid w:val="0026558A"/>
    <w:rsid w:val="003A51D2"/>
    <w:rsid w:val="003B66BC"/>
    <w:rsid w:val="003F3C5F"/>
    <w:rsid w:val="00414016"/>
    <w:rsid w:val="004937C3"/>
    <w:rsid w:val="004A34F3"/>
    <w:rsid w:val="004F1362"/>
    <w:rsid w:val="005023BA"/>
    <w:rsid w:val="005139B5"/>
    <w:rsid w:val="00516C9B"/>
    <w:rsid w:val="0052144B"/>
    <w:rsid w:val="00606E3E"/>
    <w:rsid w:val="00641A03"/>
    <w:rsid w:val="00654996"/>
    <w:rsid w:val="00655AD6"/>
    <w:rsid w:val="006C209A"/>
    <w:rsid w:val="00736F3E"/>
    <w:rsid w:val="0076268B"/>
    <w:rsid w:val="007C7B19"/>
    <w:rsid w:val="007D67FA"/>
    <w:rsid w:val="007F37F2"/>
    <w:rsid w:val="00804008"/>
    <w:rsid w:val="00807DDC"/>
    <w:rsid w:val="008463F5"/>
    <w:rsid w:val="008932F0"/>
    <w:rsid w:val="008F0C7A"/>
    <w:rsid w:val="00913CA4"/>
    <w:rsid w:val="00915B14"/>
    <w:rsid w:val="0095345A"/>
    <w:rsid w:val="00A12749"/>
    <w:rsid w:val="00A21F03"/>
    <w:rsid w:val="00A67229"/>
    <w:rsid w:val="00AA5153"/>
    <w:rsid w:val="00AB584F"/>
    <w:rsid w:val="00AF682A"/>
    <w:rsid w:val="00B819FC"/>
    <w:rsid w:val="00B97EBD"/>
    <w:rsid w:val="00BA566B"/>
    <w:rsid w:val="00C34F32"/>
    <w:rsid w:val="00C62178"/>
    <w:rsid w:val="00C65798"/>
    <w:rsid w:val="00C920CE"/>
    <w:rsid w:val="00CA25FE"/>
    <w:rsid w:val="00CD342B"/>
    <w:rsid w:val="00CE23D2"/>
    <w:rsid w:val="00D52942"/>
    <w:rsid w:val="00D575E6"/>
    <w:rsid w:val="00E21A07"/>
    <w:rsid w:val="00E711A9"/>
    <w:rsid w:val="00E7392D"/>
    <w:rsid w:val="00F45AB0"/>
    <w:rsid w:val="00FF32F8"/>
    <w:rsid w:val="013207B7"/>
    <w:rsid w:val="016463FF"/>
    <w:rsid w:val="02D13704"/>
    <w:rsid w:val="032667D7"/>
    <w:rsid w:val="046213B5"/>
    <w:rsid w:val="05753491"/>
    <w:rsid w:val="06600B58"/>
    <w:rsid w:val="06B307B8"/>
    <w:rsid w:val="07A022D1"/>
    <w:rsid w:val="0A2042A7"/>
    <w:rsid w:val="0B116715"/>
    <w:rsid w:val="0B224DC6"/>
    <w:rsid w:val="0B512FB6"/>
    <w:rsid w:val="0BC32105"/>
    <w:rsid w:val="0C690628"/>
    <w:rsid w:val="0D0E0FB6"/>
    <w:rsid w:val="0E924011"/>
    <w:rsid w:val="0EC31614"/>
    <w:rsid w:val="10DD77C5"/>
    <w:rsid w:val="110F1949"/>
    <w:rsid w:val="11934328"/>
    <w:rsid w:val="124B69B1"/>
    <w:rsid w:val="12795B30"/>
    <w:rsid w:val="141F00F5"/>
    <w:rsid w:val="14F72E20"/>
    <w:rsid w:val="150A4901"/>
    <w:rsid w:val="156264EB"/>
    <w:rsid w:val="15B14D7D"/>
    <w:rsid w:val="15D220A1"/>
    <w:rsid w:val="16D451C7"/>
    <w:rsid w:val="183D66EB"/>
    <w:rsid w:val="192817FA"/>
    <w:rsid w:val="192A17B1"/>
    <w:rsid w:val="1C664547"/>
    <w:rsid w:val="1D777F08"/>
    <w:rsid w:val="1E2527AC"/>
    <w:rsid w:val="1EAE1A8B"/>
    <w:rsid w:val="1FDE0E64"/>
    <w:rsid w:val="203211B0"/>
    <w:rsid w:val="20C93106"/>
    <w:rsid w:val="21785657"/>
    <w:rsid w:val="21905925"/>
    <w:rsid w:val="21E93AF0"/>
    <w:rsid w:val="23241284"/>
    <w:rsid w:val="24967F5F"/>
    <w:rsid w:val="25784BA0"/>
    <w:rsid w:val="2581191A"/>
    <w:rsid w:val="26D60AE7"/>
    <w:rsid w:val="2778394C"/>
    <w:rsid w:val="2AB7478C"/>
    <w:rsid w:val="2B181CE8"/>
    <w:rsid w:val="2BF832AE"/>
    <w:rsid w:val="2C211321"/>
    <w:rsid w:val="2CBF2CBC"/>
    <w:rsid w:val="2CCC3580"/>
    <w:rsid w:val="2ECF08BB"/>
    <w:rsid w:val="2F2B5719"/>
    <w:rsid w:val="304367FA"/>
    <w:rsid w:val="308E47B3"/>
    <w:rsid w:val="30FA7508"/>
    <w:rsid w:val="31172428"/>
    <w:rsid w:val="31D125D7"/>
    <w:rsid w:val="32BC52B2"/>
    <w:rsid w:val="330C4D41"/>
    <w:rsid w:val="33D4015C"/>
    <w:rsid w:val="352C55D2"/>
    <w:rsid w:val="373C50E2"/>
    <w:rsid w:val="38471FCB"/>
    <w:rsid w:val="38D879A8"/>
    <w:rsid w:val="39C741C9"/>
    <w:rsid w:val="3A9276EC"/>
    <w:rsid w:val="3AC00ABD"/>
    <w:rsid w:val="3C4B3536"/>
    <w:rsid w:val="3C5207B8"/>
    <w:rsid w:val="3CD236A7"/>
    <w:rsid w:val="3D8B1E8D"/>
    <w:rsid w:val="3DC6422B"/>
    <w:rsid w:val="3E5F0F6A"/>
    <w:rsid w:val="3E655AD5"/>
    <w:rsid w:val="3E8D5AD7"/>
    <w:rsid w:val="42DC5601"/>
    <w:rsid w:val="44625310"/>
    <w:rsid w:val="4683044A"/>
    <w:rsid w:val="474C19D6"/>
    <w:rsid w:val="485633DE"/>
    <w:rsid w:val="48DA5DBD"/>
    <w:rsid w:val="4AA73200"/>
    <w:rsid w:val="4ABF170F"/>
    <w:rsid w:val="4BEB208F"/>
    <w:rsid w:val="4CAE2606"/>
    <w:rsid w:val="4E157897"/>
    <w:rsid w:val="4ECF7A46"/>
    <w:rsid w:val="50AF0ECD"/>
    <w:rsid w:val="50D61ADF"/>
    <w:rsid w:val="510A2FB8"/>
    <w:rsid w:val="519311FF"/>
    <w:rsid w:val="526C51D7"/>
    <w:rsid w:val="527A416D"/>
    <w:rsid w:val="53D61877"/>
    <w:rsid w:val="53DF767D"/>
    <w:rsid w:val="55175CA3"/>
    <w:rsid w:val="55362284"/>
    <w:rsid w:val="55480552"/>
    <w:rsid w:val="57545549"/>
    <w:rsid w:val="59A85A64"/>
    <w:rsid w:val="5C4878BC"/>
    <w:rsid w:val="5C4D3671"/>
    <w:rsid w:val="5CD032CE"/>
    <w:rsid w:val="5D5A7075"/>
    <w:rsid w:val="5F5436C4"/>
    <w:rsid w:val="5F571ABE"/>
    <w:rsid w:val="5FE22AC1"/>
    <w:rsid w:val="607B7A2E"/>
    <w:rsid w:val="61451066"/>
    <w:rsid w:val="61A570C7"/>
    <w:rsid w:val="65AF18EF"/>
    <w:rsid w:val="65C37072"/>
    <w:rsid w:val="66042B43"/>
    <w:rsid w:val="66C57595"/>
    <w:rsid w:val="677D22DE"/>
    <w:rsid w:val="6809591F"/>
    <w:rsid w:val="68BB3E68"/>
    <w:rsid w:val="68CA50AF"/>
    <w:rsid w:val="6A7C01EF"/>
    <w:rsid w:val="6B160E6A"/>
    <w:rsid w:val="6DB63E53"/>
    <w:rsid w:val="6E881C94"/>
    <w:rsid w:val="6EF2535F"/>
    <w:rsid w:val="6F941206"/>
    <w:rsid w:val="706C2EEF"/>
    <w:rsid w:val="73B15150"/>
    <w:rsid w:val="73E55492"/>
    <w:rsid w:val="74444145"/>
    <w:rsid w:val="76710410"/>
    <w:rsid w:val="768E20EB"/>
    <w:rsid w:val="770B2420"/>
    <w:rsid w:val="774424D0"/>
    <w:rsid w:val="77DD6D6C"/>
    <w:rsid w:val="78C54B87"/>
    <w:rsid w:val="7A6D7F90"/>
    <w:rsid w:val="7BFA3AA5"/>
    <w:rsid w:val="7DEF63D9"/>
    <w:rsid w:val="7EE50A3C"/>
    <w:rsid w:val="7FA216B1"/>
    <w:rsid w:val="7FC7639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方正仿宋_GBK" w:cs="Times New Roman"/>
      <w:kern w:val="2"/>
      <w:sz w:val="32"/>
      <w:szCs w:val="24"/>
      <w:lang w:val="en-US" w:eastAsia="zh-CN"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Balloon Text"/>
    <w:basedOn w:val="1"/>
    <w:link w:val="13"/>
    <w:autoRedefine/>
    <w:qFormat/>
    <w:uiPriority w:val="0"/>
    <w:rPr>
      <w:sz w:val="18"/>
      <w:szCs w:val="18"/>
    </w:rPr>
  </w:style>
  <w:style w:type="paragraph" w:styleId="4">
    <w:name w:val="footer"/>
    <w:basedOn w:val="1"/>
    <w:link w:val="15"/>
    <w:autoRedefine/>
    <w:qFormat/>
    <w:uiPriority w:val="0"/>
    <w:pPr>
      <w:tabs>
        <w:tab w:val="center" w:pos="4153"/>
        <w:tab w:val="right" w:pos="8306"/>
      </w:tabs>
      <w:snapToGrid w:val="0"/>
      <w:jc w:val="left"/>
    </w:pPr>
    <w:rPr>
      <w:sz w:val="18"/>
      <w:szCs w:val="18"/>
    </w:rPr>
  </w:style>
  <w:style w:type="paragraph" w:styleId="5">
    <w:name w:val="header"/>
    <w:basedOn w:val="1"/>
    <w:link w:val="14"/>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autoRedefine/>
    <w:qFormat/>
    <w:uiPriority w:val="0"/>
  </w:style>
  <w:style w:type="paragraph" w:styleId="7">
    <w:name w:val="Normal (Web)"/>
    <w:basedOn w:val="1"/>
    <w:qFormat/>
    <w:uiPriority w:val="0"/>
    <w:pPr>
      <w:spacing w:beforeAutospacing="1" w:afterAutospacing="1"/>
      <w:jc w:val="left"/>
    </w:pPr>
    <w:rPr>
      <w:kern w:val="0"/>
      <w:sz w:val="24"/>
    </w:rPr>
  </w:style>
  <w:style w:type="table" w:styleId="9">
    <w:name w:val="Table Grid"/>
    <w:basedOn w:val="8"/>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color w:val="0000FF"/>
      <w:u w:val="single"/>
    </w:rPr>
  </w:style>
  <w:style w:type="paragraph" w:styleId="12">
    <w:name w:val="List Paragraph"/>
    <w:basedOn w:val="1"/>
    <w:autoRedefine/>
    <w:qFormat/>
    <w:uiPriority w:val="34"/>
    <w:pPr>
      <w:ind w:firstLine="420" w:firstLineChars="200"/>
    </w:pPr>
  </w:style>
  <w:style w:type="character" w:customStyle="1" w:styleId="13">
    <w:name w:val="批注框文本 字符"/>
    <w:basedOn w:val="10"/>
    <w:link w:val="3"/>
    <w:autoRedefine/>
    <w:qFormat/>
    <w:uiPriority w:val="0"/>
    <w:rPr>
      <w:rFonts w:ascii="Calibri" w:hAnsi="Calibri" w:eastAsia="方正仿宋_GBK"/>
      <w:kern w:val="2"/>
      <w:sz w:val="18"/>
      <w:szCs w:val="18"/>
    </w:rPr>
  </w:style>
  <w:style w:type="character" w:customStyle="1" w:styleId="14">
    <w:name w:val="页眉 字符"/>
    <w:basedOn w:val="10"/>
    <w:link w:val="5"/>
    <w:autoRedefine/>
    <w:qFormat/>
    <w:uiPriority w:val="0"/>
    <w:rPr>
      <w:rFonts w:ascii="Calibri" w:hAnsi="Calibri" w:eastAsia="方正仿宋_GBK"/>
      <w:kern w:val="2"/>
      <w:sz w:val="18"/>
      <w:szCs w:val="18"/>
    </w:rPr>
  </w:style>
  <w:style w:type="character" w:customStyle="1" w:styleId="15">
    <w:name w:val="页脚 字符"/>
    <w:basedOn w:val="10"/>
    <w:link w:val="4"/>
    <w:autoRedefine/>
    <w:qFormat/>
    <w:uiPriority w:val="0"/>
    <w:rPr>
      <w:rFonts w:ascii="Calibri" w:hAnsi="Calibri" w:eastAsia="方正仿宋_GBK"/>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23</Pages>
  <Words>4058</Words>
  <Characters>4182</Characters>
  <Lines>90</Lines>
  <Paragraphs>25</Paragraphs>
  <TotalTime>24</TotalTime>
  <ScaleCrop>false</ScaleCrop>
  <LinksUpToDate>false</LinksUpToDate>
  <CharactersWithSpaces>4243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2024-06-03T06:46:00Z</dcterms:created>
  <dc:creator>黛</dc:creator>
  <cp:lastModifiedBy>张文扬</cp:lastModifiedBy>
  <cp:lastPrinted>2024-05-17T01:39:00Z</cp:lastPrinted>
  <dcterms:modified xsi:type="dcterms:W3CDTF">2025-08-31T14:16:31Z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46C2779EA2D0440A9DA409DB46BCF1FA_13</vt:lpwstr>
  </property>
  <property fmtid="{D5CDD505-2E9C-101B-9397-08002B2CF9AE}" pid="4" name="KSOTemplateDocerSaveRecord">
    <vt:lpwstr>eyJoZGlkIjoiYmI4YzU5ZDc5YjUwY2M3MGY0ZTE5YWMzOWJmMGYwMTMiLCJ1c2VySWQiOiIyMTAwODY1MDgifQ==</vt:lpwstr>
  </property>
</Properties>
</file>